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D90" w:rsidRDefault="00561D90" w:rsidP="00561D90">
      <w:pPr>
        <w:spacing w:after="0"/>
        <w:rPr>
          <w:rFonts w:ascii="Times New Roman" w:hAnsi="Times New Roman" w:cs="Times New Roman"/>
          <w:b/>
        </w:rPr>
      </w:pPr>
      <w:r>
        <w:rPr>
          <w:rFonts w:ascii="Times New Roman" w:hAnsi="Times New Roman" w:cs="Times New Roman"/>
          <w:b/>
        </w:rPr>
        <w:t>VPS Personeel, Organisatie  Communicatie</w:t>
      </w:r>
    </w:p>
    <w:p w:rsidR="00561D90" w:rsidRDefault="00561D90" w:rsidP="00561D90">
      <w:pPr>
        <w:spacing w:after="0"/>
        <w:rPr>
          <w:rFonts w:ascii="Times New Roman" w:hAnsi="Times New Roman" w:cs="Times New Roman"/>
          <w:b/>
        </w:rPr>
      </w:pPr>
      <w:r>
        <w:rPr>
          <w:rFonts w:ascii="Times New Roman" w:hAnsi="Times New Roman" w:cs="Times New Roman"/>
          <w:b/>
        </w:rPr>
        <w:t>Antwoorden opgavenboek</w:t>
      </w:r>
    </w:p>
    <w:p w:rsidR="00561D90" w:rsidRDefault="00561D90" w:rsidP="00561D90">
      <w:pPr>
        <w:spacing w:after="0"/>
        <w:rPr>
          <w:rFonts w:ascii="Times New Roman" w:hAnsi="Times New Roman" w:cs="Times New Roman"/>
          <w:b/>
        </w:rPr>
      </w:pPr>
      <w:r>
        <w:rPr>
          <w:rFonts w:ascii="Times New Roman" w:hAnsi="Times New Roman" w:cs="Times New Roman"/>
          <w:b/>
        </w:rPr>
        <w:t>Hoofdstuk 4</w:t>
      </w:r>
    </w:p>
    <w:p w:rsidR="00561D90" w:rsidRPr="00FC7760" w:rsidRDefault="00561D90" w:rsidP="00561D90">
      <w:pPr>
        <w:spacing w:after="0"/>
        <w:rPr>
          <w:rFonts w:ascii="Times New Roman" w:hAnsi="Times New Roman" w:cs="Times New Roman"/>
        </w:rPr>
      </w:pPr>
    </w:p>
    <w:p w:rsidR="00561D90" w:rsidRDefault="00561D90" w:rsidP="00561D90">
      <w:pPr>
        <w:spacing w:after="0"/>
        <w:rPr>
          <w:rFonts w:ascii="Times New Roman" w:hAnsi="Times New Roman" w:cs="Times New Roman"/>
        </w:rPr>
      </w:pPr>
    </w:p>
    <w:p w:rsidR="00561D90" w:rsidRPr="00FC7760" w:rsidRDefault="00561D90" w:rsidP="00561D90">
      <w:pPr>
        <w:spacing w:after="0"/>
        <w:rPr>
          <w:rFonts w:ascii="Times New Roman" w:hAnsi="Times New Roman" w:cs="Times New Roman"/>
          <w:b/>
        </w:rPr>
      </w:pPr>
      <w:r w:rsidRPr="00FC7760">
        <w:rPr>
          <w:rFonts w:ascii="Times New Roman" w:hAnsi="Times New Roman" w:cs="Times New Roman"/>
          <w:b/>
        </w:rPr>
        <w:t>Opgave 4.1</w:t>
      </w:r>
    </w:p>
    <w:p w:rsidR="00561D90" w:rsidRPr="00FC7760" w:rsidRDefault="00561D90" w:rsidP="00561D90">
      <w:pPr>
        <w:spacing w:after="0"/>
        <w:ind w:left="705" w:hanging="705"/>
        <w:rPr>
          <w:rFonts w:ascii="Times New Roman" w:hAnsi="Times New Roman" w:cs="Times New Roman"/>
        </w:rPr>
      </w:pPr>
      <w:r w:rsidRPr="00FC7760">
        <w:rPr>
          <w:rFonts w:ascii="Times New Roman" w:hAnsi="Times New Roman" w:cs="Times New Roman"/>
        </w:rPr>
        <w:t>A</w:t>
      </w:r>
      <w:r w:rsidRPr="00FC7760">
        <w:rPr>
          <w:rFonts w:ascii="Times New Roman" w:hAnsi="Times New Roman" w:cs="Times New Roman"/>
        </w:rPr>
        <w:tab/>
        <w:t>Stelling II is onjuist, want niet alle ondernemingen zijn wettelijk verplicht om alle genoemde onderdelen op te nemen in het jaarverslag. Stelling I is wel juist.</w:t>
      </w:r>
    </w:p>
    <w:p w:rsidR="00561D90" w:rsidRDefault="00561D90" w:rsidP="00561D90">
      <w:pPr>
        <w:spacing w:after="0"/>
        <w:rPr>
          <w:rFonts w:ascii="Times New Roman" w:hAnsi="Times New Roman" w:cs="Times New Roman"/>
        </w:rPr>
      </w:pPr>
    </w:p>
    <w:p w:rsidR="00561D90" w:rsidRPr="00FC7760" w:rsidRDefault="00561D90" w:rsidP="00561D90">
      <w:pPr>
        <w:spacing w:after="0"/>
        <w:rPr>
          <w:rFonts w:ascii="Times New Roman" w:hAnsi="Times New Roman" w:cs="Times New Roman"/>
          <w:b/>
        </w:rPr>
      </w:pPr>
      <w:r w:rsidRPr="00FC7760">
        <w:rPr>
          <w:rFonts w:ascii="Times New Roman" w:hAnsi="Times New Roman" w:cs="Times New Roman"/>
          <w:b/>
        </w:rPr>
        <w:t>Opgave 4.2</w:t>
      </w:r>
    </w:p>
    <w:p w:rsidR="00561D90" w:rsidRDefault="00561D90" w:rsidP="00561D90">
      <w:pPr>
        <w:spacing w:after="0"/>
        <w:ind w:left="705" w:hanging="705"/>
        <w:rPr>
          <w:rFonts w:ascii="Times New Roman" w:hAnsi="Times New Roman" w:cs="Times New Roman"/>
        </w:rPr>
      </w:pPr>
      <w:r w:rsidRPr="005A5765">
        <w:rPr>
          <w:rFonts w:ascii="Times New Roman" w:hAnsi="Times New Roman" w:cs="Times New Roman"/>
        </w:rPr>
        <w:t>B</w:t>
      </w:r>
      <w:r w:rsidRPr="005A5765">
        <w:rPr>
          <w:rFonts w:ascii="Times New Roman" w:hAnsi="Times New Roman" w:cs="Times New Roman"/>
        </w:rPr>
        <w:tab/>
        <w:t xml:space="preserve">Stelling I is onjuist, want </w:t>
      </w:r>
      <w:r>
        <w:rPr>
          <w:rFonts w:ascii="Times New Roman" w:hAnsi="Times New Roman" w:cs="Times New Roman"/>
        </w:rPr>
        <w:t xml:space="preserve">ook micro- en kleine </w:t>
      </w:r>
      <w:r w:rsidRPr="005A5765">
        <w:rPr>
          <w:rFonts w:ascii="Times New Roman" w:hAnsi="Times New Roman" w:cs="Times New Roman"/>
        </w:rPr>
        <w:t>rechtsperso</w:t>
      </w:r>
      <w:r>
        <w:rPr>
          <w:rFonts w:ascii="Times New Roman" w:hAnsi="Times New Roman" w:cs="Times New Roman"/>
        </w:rPr>
        <w:t>nen zijn verplicht om hun jaarrekening te publiceren</w:t>
      </w:r>
      <w:r w:rsidRPr="005A5765">
        <w:rPr>
          <w:rFonts w:ascii="Times New Roman" w:hAnsi="Times New Roman" w:cs="Times New Roman"/>
        </w:rPr>
        <w:t>. Stelling II is wel juist.</w:t>
      </w:r>
    </w:p>
    <w:p w:rsidR="00561D90" w:rsidRDefault="00561D90" w:rsidP="00561D90">
      <w:pPr>
        <w:spacing w:after="0"/>
        <w:rPr>
          <w:rFonts w:ascii="Times New Roman" w:hAnsi="Times New Roman" w:cs="Times New Roman"/>
        </w:rPr>
      </w:pPr>
    </w:p>
    <w:p w:rsidR="00561D90" w:rsidRPr="005A5765" w:rsidRDefault="00561D90" w:rsidP="00561D90">
      <w:pPr>
        <w:spacing w:after="0"/>
        <w:rPr>
          <w:rFonts w:ascii="Times New Roman" w:hAnsi="Times New Roman" w:cs="Times New Roman"/>
          <w:b/>
        </w:rPr>
      </w:pPr>
      <w:r w:rsidRPr="005A5765">
        <w:rPr>
          <w:rFonts w:ascii="Times New Roman" w:hAnsi="Times New Roman" w:cs="Times New Roman"/>
          <w:b/>
        </w:rPr>
        <w:t>Opgave 4.3</w:t>
      </w:r>
    </w:p>
    <w:p w:rsidR="00561D90" w:rsidRDefault="00561D90" w:rsidP="00561D90">
      <w:pPr>
        <w:spacing w:after="0"/>
        <w:ind w:left="705" w:hanging="705"/>
        <w:rPr>
          <w:rFonts w:ascii="Times New Roman" w:hAnsi="Times New Roman" w:cs="Times New Roman"/>
        </w:rPr>
      </w:pPr>
      <w:r w:rsidRPr="00F854FF">
        <w:rPr>
          <w:rFonts w:ascii="Times New Roman" w:hAnsi="Times New Roman" w:cs="Times New Roman"/>
        </w:rPr>
        <w:t>B</w:t>
      </w:r>
      <w:r w:rsidRPr="00F854FF">
        <w:rPr>
          <w:rFonts w:ascii="Times New Roman" w:hAnsi="Times New Roman" w:cs="Times New Roman"/>
        </w:rPr>
        <w:tab/>
        <w:t>Op grond van het matchingbeginsel moet een onderneming de gemaakte kosten zo veel mogelijk toerekenen aan de periode waarin ze zijn ontstaan. Het realisatiebeginsel schrijft voor dat de opbrengsten pas mogen worden verantwoord als ze daadwerkelijk zijn gerealiseerd. Het voorzichtigheidsbeginsel houdt in dat een onderneming een opbrengst pas mag verantwoorden op het moment dat deze op basis van het realisatiebeginsel is gerealiseerd én dat men een verlies moet nemen zodra dit wordt geconstateerd. Het continuïteitsbeginsel betekent dat de onderneming er bij het opstellen van de jaarrekening van uit moet gaan dat de activiteiten worden voortgezet.</w:t>
      </w:r>
    </w:p>
    <w:p w:rsidR="00561D90" w:rsidRDefault="00561D90" w:rsidP="00561D90">
      <w:pPr>
        <w:spacing w:after="0"/>
        <w:rPr>
          <w:rFonts w:ascii="Times New Roman" w:hAnsi="Times New Roman" w:cs="Times New Roman"/>
        </w:rPr>
      </w:pPr>
    </w:p>
    <w:p w:rsidR="00561D90" w:rsidRPr="00F854FF" w:rsidRDefault="00561D90" w:rsidP="00561D90">
      <w:pPr>
        <w:spacing w:after="0"/>
        <w:rPr>
          <w:rFonts w:ascii="Times New Roman" w:hAnsi="Times New Roman" w:cs="Times New Roman"/>
          <w:b/>
        </w:rPr>
      </w:pPr>
      <w:r w:rsidRPr="00F854FF">
        <w:rPr>
          <w:rFonts w:ascii="Times New Roman" w:hAnsi="Times New Roman" w:cs="Times New Roman"/>
          <w:b/>
        </w:rPr>
        <w:t>Opgave 4.4</w:t>
      </w:r>
    </w:p>
    <w:p w:rsidR="00561D90" w:rsidRDefault="00561D90" w:rsidP="00561D90">
      <w:pPr>
        <w:spacing w:after="0"/>
        <w:rPr>
          <w:rFonts w:ascii="Times New Roman" w:hAnsi="Times New Roman" w:cs="Times New Roman"/>
        </w:rPr>
      </w:pPr>
      <w:r>
        <w:rPr>
          <w:rFonts w:ascii="Times New Roman" w:hAnsi="Times New Roman" w:cs="Times New Roman"/>
        </w:rPr>
        <w:t>D</w:t>
      </w:r>
      <w:r>
        <w:rPr>
          <w:rFonts w:ascii="Times New Roman" w:hAnsi="Times New Roman" w:cs="Times New Roman"/>
        </w:rPr>
        <w:tab/>
        <w:t>Het hier beschreven beginsel is het voorzichtigheidsbeginsel.</w:t>
      </w:r>
    </w:p>
    <w:p w:rsidR="00561D90" w:rsidRDefault="00561D90" w:rsidP="00561D90">
      <w:pPr>
        <w:spacing w:after="0"/>
        <w:rPr>
          <w:rFonts w:ascii="Times New Roman" w:hAnsi="Times New Roman" w:cs="Times New Roman"/>
        </w:rPr>
      </w:pPr>
    </w:p>
    <w:p w:rsidR="00561D90" w:rsidRPr="006E4E18" w:rsidRDefault="00561D90" w:rsidP="00561D90">
      <w:pPr>
        <w:spacing w:after="0"/>
        <w:rPr>
          <w:rFonts w:ascii="Times New Roman" w:hAnsi="Times New Roman" w:cs="Times New Roman"/>
          <w:b/>
        </w:rPr>
      </w:pPr>
      <w:r w:rsidRPr="006E4E18">
        <w:rPr>
          <w:rFonts w:ascii="Times New Roman" w:hAnsi="Times New Roman" w:cs="Times New Roman"/>
          <w:b/>
        </w:rPr>
        <w:t>Opgave 4.5</w:t>
      </w:r>
    </w:p>
    <w:p w:rsidR="00561D90" w:rsidRDefault="00561D90" w:rsidP="00561D90">
      <w:pPr>
        <w:spacing w:after="0"/>
        <w:rPr>
          <w:rFonts w:ascii="Times New Roman" w:hAnsi="Times New Roman" w:cs="Times New Roman"/>
        </w:rPr>
      </w:pPr>
      <w:r w:rsidRPr="00BC0D7B">
        <w:rPr>
          <w:rFonts w:ascii="Times New Roman" w:hAnsi="Times New Roman" w:cs="Times New Roman"/>
        </w:rPr>
        <w:t>C</w:t>
      </w:r>
      <w:r w:rsidRPr="00BC0D7B">
        <w:rPr>
          <w:rFonts w:ascii="Times New Roman" w:hAnsi="Times New Roman" w:cs="Times New Roman"/>
        </w:rPr>
        <w:tab/>
        <w:t>Stelling I en II zijn allebei juist.</w:t>
      </w:r>
    </w:p>
    <w:p w:rsidR="00561D90" w:rsidRDefault="00561D90" w:rsidP="00561D90">
      <w:pPr>
        <w:spacing w:after="0"/>
        <w:rPr>
          <w:rFonts w:ascii="Times New Roman" w:hAnsi="Times New Roman" w:cs="Times New Roman"/>
        </w:rPr>
      </w:pPr>
    </w:p>
    <w:p w:rsidR="00561D90" w:rsidRPr="00BC0D7B" w:rsidRDefault="00561D90" w:rsidP="00561D90">
      <w:pPr>
        <w:spacing w:after="0"/>
        <w:rPr>
          <w:rFonts w:ascii="Times New Roman" w:hAnsi="Times New Roman" w:cs="Times New Roman"/>
          <w:b/>
        </w:rPr>
      </w:pPr>
      <w:r w:rsidRPr="00BC0D7B">
        <w:rPr>
          <w:rFonts w:ascii="Times New Roman" w:hAnsi="Times New Roman" w:cs="Times New Roman"/>
          <w:b/>
        </w:rPr>
        <w:t>Opgave 4.6</w:t>
      </w:r>
    </w:p>
    <w:p w:rsidR="00561D90" w:rsidRDefault="00561D90" w:rsidP="00561D90">
      <w:pPr>
        <w:spacing w:after="0"/>
        <w:ind w:left="705" w:hanging="705"/>
        <w:rPr>
          <w:rFonts w:ascii="Times New Roman" w:hAnsi="Times New Roman" w:cs="Times New Roman"/>
        </w:rPr>
      </w:pPr>
      <w:r w:rsidRPr="00D63D39">
        <w:rPr>
          <w:rFonts w:ascii="Times New Roman" w:hAnsi="Times New Roman" w:cs="Times New Roman"/>
        </w:rPr>
        <w:t>B</w:t>
      </w:r>
      <w:r w:rsidRPr="00D63D39">
        <w:rPr>
          <w:rFonts w:ascii="Times New Roman" w:hAnsi="Times New Roman" w:cs="Times New Roman"/>
        </w:rPr>
        <w:tab/>
        <w:t>De vaste activa staan altijd bovenaan aan de debetzijde van de balans. Daaronder komen de vlottende activa en de liquide middelen. Het eigen vermogen staat bovenaan aan de creditzijde.</w:t>
      </w:r>
    </w:p>
    <w:p w:rsidR="00561D90" w:rsidRDefault="00561D90" w:rsidP="00561D90">
      <w:pPr>
        <w:spacing w:after="0"/>
        <w:rPr>
          <w:rFonts w:ascii="Times New Roman" w:hAnsi="Times New Roman" w:cs="Times New Roman"/>
        </w:rPr>
      </w:pPr>
    </w:p>
    <w:p w:rsidR="00561D90" w:rsidRPr="00D63D39" w:rsidRDefault="00561D90" w:rsidP="00561D90">
      <w:pPr>
        <w:spacing w:after="0"/>
        <w:rPr>
          <w:rFonts w:ascii="Times New Roman" w:hAnsi="Times New Roman" w:cs="Times New Roman"/>
          <w:b/>
        </w:rPr>
      </w:pPr>
      <w:r w:rsidRPr="00D63D39">
        <w:rPr>
          <w:rFonts w:ascii="Times New Roman" w:hAnsi="Times New Roman" w:cs="Times New Roman"/>
          <w:b/>
        </w:rPr>
        <w:t>Opgave 4.7</w:t>
      </w:r>
    </w:p>
    <w:p w:rsidR="00561D90" w:rsidRDefault="00561D90" w:rsidP="00561D90">
      <w:pPr>
        <w:spacing w:after="0"/>
        <w:rPr>
          <w:rFonts w:ascii="Times New Roman" w:hAnsi="Times New Roman" w:cs="Times New Roman"/>
        </w:rPr>
      </w:pPr>
      <w:r w:rsidRPr="00246712">
        <w:rPr>
          <w:rFonts w:ascii="Times New Roman" w:hAnsi="Times New Roman" w:cs="Times New Roman"/>
        </w:rPr>
        <w:t>A</w:t>
      </w:r>
      <w:r w:rsidRPr="00246712">
        <w:rPr>
          <w:rFonts w:ascii="Times New Roman" w:hAnsi="Times New Roman" w:cs="Times New Roman"/>
        </w:rPr>
        <w:tab/>
        <w:t>Goodwill valt altijd onder de immateriële (= niet-stoffelijke) vaste activa.</w:t>
      </w:r>
    </w:p>
    <w:p w:rsidR="00561D90" w:rsidRDefault="00561D90" w:rsidP="00561D90">
      <w:pPr>
        <w:spacing w:after="0"/>
        <w:rPr>
          <w:rFonts w:ascii="Times New Roman" w:hAnsi="Times New Roman" w:cs="Times New Roman"/>
        </w:rPr>
      </w:pPr>
    </w:p>
    <w:p w:rsidR="00561D90" w:rsidRPr="00246712" w:rsidRDefault="00561D90" w:rsidP="00561D90">
      <w:pPr>
        <w:spacing w:after="0"/>
        <w:rPr>
          <w:rFonts w:ascii="Times New Roman" w:hAnsi="Times New Roman" w:cs="Times New Roman"/>
          <w:b/>
        </w:rPr>
      </w:pPr>
      <w:r w:rsidRPr="00246712">
        <w:rPr>
          <w:rFonts w:ascii="Times New Roman" w:hAnsi="Times New Roman" w:cs="Times New Roman"/>
          <w:b/>
        </w:rPr>
        <w:t>Opgave 4.8</w:t>
      </w:r>
    </w:p>
    <w:p w:rsidR="00561D90" w:rsidRDefault="00561D90" w:rsidP="00561D90">
      <w:pPr>
        <w:spacing w:after="0"/>
        <w:ind w:left="705" w:hanging="705"/>
        <w:rPr>
          <w:rFonts w:ascii="Times New Roman" w:hAnsi="Times New Roman" w:cs="Times New Roman"/>
        </w:rPr>
      </w:pPr>
      <w:r w:rsidRPr="00C82A6D">
        <w:rPr>
          <w:rFonts w:ascii="Times New Roman" w:hAnsi="Times New Roman" w:cs="Times New Roman"/>
        </w:rPr>
        <w:t>D</w:t>
      </w:r>
      <w:r w:rsidRPr="00C82A6D">
        <w:rPr>
          <w:rFonts w:ascii="Times New Roman" w:hAnsi="Times New Roman" w:cs="Times New Roman"/>
        </w:rPr>
        <w:tab/>
        <w:t>Effecten die de onderneming tijdelijk bezit en die verhandelbaar zijn, vallen onder de vlottende activa. Als er sprake is van een deelneming (structureel aandelenbezit), valt deze onder de financiële vaste activa</w:t>
      </w:r>
      <w:r>
        <w:rPr>
          <w:rFonts w:ascii="Times New Roman" w:hAnsi="Times New Roman" w:cs="Times New Roman"/>
        </w:rPr>
        <w:t>.</w:t>
      </w:r>
    </w:p>
    <w:p w:rsidR="00561D90" w:rsidRDefault="00561D90" w:rsidP="00561D90">
      <w:pPr>
        <w:spacing w:after="0"/>
        <w:rPr>
          <w:rFonts w:ascii="Times New Roman" w:hAnsi="Times New Roman" w:cs="Times New Roman"/>
        </w:rPr>
      </w:pPr>
    </w:p>
    <w:p w:rsidR="00561D90" w:rsidRPr="00C82A6D" w:rsidRDefault="00561D90" w:rsidP="00561D90">
      <w:pPr>
        <w:spacing w:after="0"/>
        <w:rPr>
          <w:rFonts w:ascii="Times New Roman" w:hAnsi="Times New Roman" w:cs="Times New Roman"/>
          <w:b/>
        </w:rPr>
      </w:pPr>
      <w:r w:rsidRPr="00C82A6D">
        <w:rPr>
          <w:rFonts w:ascii="Times New Roman" w:hAnsi="Times New Roman" w:cs="Times New Roman"/>
          <w:b/>
        </w:rPr>
        <w:t>Opgave 4.9</w:t>
      </w:r>
    </w:p>
    <w:p w:rsidR="00561D90" w:rsidRDefault="00561D90" w:rsidP="00561D90">
      <w:pPr>
        <w:spacing w:after="0"/>
        <w:ind w:left="705" w:hanging="705"/>
        <w:rPr>
          <w:rFonts w:ascii="Times New Roman" w:hAnsi="Times New Roman" w:cs="Times New Roman"/>
        </w:rPr>
      </w:pPr>
      <w:r w:rsidRPr="003912C0">
        <w:rPr>
          <w:rFonts w:ascii="Times New Roman" w:hAnsi="Times New Roman" w:cs="Times New Roman"/>
        </w:rPr>
        <w:t>D</w:t>
      </w:r>
      <w:r w:rsidRPr="003912C0">
        <w:rPr>
          <w:rFonts w:ascii="Times New Roman" w:hAnsi="Times New Roman" w:cs="Times New Roman"/>
        </w:rPr>
        <w:tab/>
        <w:t>Stelling I is onjuist, want voorzieningen behoren tot het vreemd vermogen. Reserves behoren wel tot het eigen vermogen. Stelling II is eveneens onjuist, want bijzondere baten en lasten vloeien wél voort uit de gewone bedrijfsuitoefening, maar hebben een incidenteel karakter of een bijzondere oorzaak en/of omvang.</w:t>
      </w:r>
    </w:p>
    <w:p w:rsidR="00561D90" w:rsidRDefault="00561D90" w:rsidP="00561D90">
      <w:pPr>
        <w:spacing w:after="0"/>
        <w:rPr>
          <w:rFonts w:ascii="Times New Roman" w:hAnsi="Times New Roman" w:cs="Times New Roman"/>
        </w:rPr>
      </w:pPr>
    </w:p>
    <w:p w:rsidR="00561D90" w:rsidRPr="003912C0" w:rsidRDefault="00561D90" w:rsidP="00561D90">
      <w:pPr>
        <w:spacing w:after="0"/>
        <w:rPr>
          <w:rFonts w:ascii="Times New Roman" w:hAnsi="Times New Roman" w:cs="Times New Roman"/>
          <w:b/>
        </w:rPr>
      </w:pPr>
      <w:r w:rsidRPr="003912C0">
        <w:rPr>
          <w:rFonts w:ascii="Times New Roman" w:hAnsi="Times New Roman" w:cs="Times New Roman"/>
          <w:b/>
        </w:rPr>
        <w:lastRenderedPageBreak/>
        <w:t>Opgave 4.10</w:t>
      </w:r>
    </w:p>
    <w:p w:rsidR="00561D90" w:rsidRPr="00E77832" w:rsidRDefault="00561D90" w:rsidP="00561D90">
      <w:pPr>
        <w:pStyle w:val="ListParagraph"/>
        <w:numPr>
          <w:ilvl w:val="0"/>
          <w:numId w:val="2"/>
        </w:numPr>
        <w:spacing w:after="0"/>
        <w:rPr>
          <w:rFonts w:ascii="Times New Roman" w:hAnsi="Times New Roman" w:cs="Times New Roman"/>
        </w:rPr>
      </w:pPr>
      <w:r w:rsidRPr="00E77832">
        <w:rPr>
          <w:rFonts w:ascii="Times New Roman" w:hAnsi="Times New Roman" w:cs="Times New Roman"/>
        </w:rPr>
        <w:t xml:space="preserve">Het </w:t>
      </w:r>
      <w:r>
        <w:rPr>
          <w:rFonts w:ascii="Times New Roman" w:hAnsi="Times New Roman" w:cs="Times New Roman"/>
        </w:rPr>
        <w:t xml:space="preserve">belangrijkste </w:t>
      </w:r>
      <w:r w:rsidRPr="00E77832">
        <w:rPr>
          <w:rFonts w:ascii="Times New Roman" w:hAnsi="Times New Roman" w:cs="Times New Roman"/>
        </w:rPr>
        <w:t>doel van externe verslaggeving is om verantwoording af te leggen over de bedrijfsresultaten en het gevoerde beleid aan externe belanghebbenden. Hierbij moet de verschafte informatie zodanig zijn opgesteld dat de gebruikers van deze informatie een goed oordeel kunnen vellen over het reilen en zeilen van de onderneming.</w:t>
      </w:r>
    </w:p>
    <w:p w:rsidR="00561D90" w:rsidRDefault="00561D90" w:rsidP="00561D90">
      <w:pPr>
        <w:spacing w:after="0"/>
        <w:rPr>
          <w:rFonts w:ascii="Times New Roman" w:hAnsi="Times New Roman" w:cs="Times New Roman"/>
        </w:rPr>
      </w:pPr>
    </w:p>
    <w:p w:rsidR="00561D90" w:rsidRPr="00E77832" w:rsidRDefault="00561D90" w:rsidP="00561D90">
      <w:pPr>
        <w:pStyle w:val="ListParagraph"/>
        <w:numPr>
          <w:ilvl w:val="0"/>
          <w:numId w:val="2"/>
        </w:numPr>
        <w:spacing w:after="0"/>
        <w:rPr>
          <w:rFonts w:ascii="Times New Roman" w:hAnsi="Times New Roman" w:cs="Times New Roman"/>
        </w:rPr>
      </w:pPr>
      <w:r w:rsidRPr="00E77832">
        <w:rPr>
          <w:rFonts w:ascii="Times New Roman" w:hAnsi="Times New Roman" w:cs="Times New Roman"/>
        </w:rPr>
        <w:t>Bij het opstellen van de jaarrekening moeten de volgende vijf beginselen in acht worden genomen:</w:t>
      </w:r>
    </w:p>
    <w:p w:rsidR="00561D90" w:rsidRDefault="00561D90" w:rsidP="00561D90">
      <w:pPr>
        <w:pStyle w:val="ListParagraph"/>
        <w:numPr>
          <w:ilvl w:val="0"/>
          <w:numId w:val="1"/>
        </w:numPr>
        <w:spacing w:after="0"/>
        <w:rPr>
          <w:rFonts w:ascii="Times New Roman" w:hAnsi="Times New Roman" w:cs="Times New Roman"/>
        </w:rPr>
      </w:pPr>
      <w:r>
        <w:rPr>
          <w:rFonts w:ascii="Times New Roman" w:hAnsi="Times New Roman" w:cs="Times New Roman"/>
        </w:rPr>
        <w:t>realisatiebeginsel;</w:t>
      </w:r>
    </w:p>
    <w:p w:rsidR="00561D90" w:rsidRDefault="00561D90" w:rsidP="00561D90">
      <w:pPr>
        <w:pStyle w:val="ListParagraph"/>
        <w:numPr>
          <w:ilvl w:val="0"/>
          <w:numId w:val="1"/>
        </w:numPr>
        <w:spacing w:after="0"/>
        <w:rPr>
          <w:rFonts w:ascii="Times New Roman" w:hAnsi="Times New Roman" w:cs="Times New Roman"/>
        </w:rPr>
      </w:pPr>
      <w:r>
        <w:rPr>
          <w:rFonts w:ascii="Times New Roman" w:hAnsi="Times New Roman" w:cs="Times New Roman"/>
        </w:rPr>
        <w:t>matchingbeginsel;</w:t>
      </w:r>
    </w:p>
    <w:p w:rsidR="00561D90" w:rsidRPr="00914539" w:rsidRDefault="00561D90" w:rsidP="00561D90">
      <w:pPr>
        <w:pStyle w:val="ListParagraph"/>
        <w:numPr>
          <w:ilvl w:val="0"/>
          <w:numId w:val="1"/>
        </w:numPr>
        <w:spacing w:after="0"/>
        <w:rPr>
          <w:rFonts w:ascii="Times New Roman" w:hAnsi="Times New Roman" w:cs="Times New Roman"/>
          <w:lang w:val="en-US"/>
        </w:rPr>
      </w:pPr>
      <w:r w:rsidRPr="00914539">
        <w:rPr>
          <w:rFonts w:ascii="Times New Roman" w:hAnsi="Times New Roman" w:cs="Times New Roman"/>
          <w:lang w:val="en-US"/>
        </w:rPr>
        <w:t>continuïteitsbeginsel of going concern-beginsel;</w:t>
      </w:r>
    </w:p>
    <w:p w:rsidR="00561D90" w:rsidRDefault="00561D90" w:rsidP="00561D90">
      <w:pPr>
        <w:pStyle w:val="ListParagraph"/>
        <w:numPr>
          <w:ilvl w:val="0"/>
          <w:numId w:val="1"/>
        </w:numPr>
        <w:spacing w:after="0"/>
        <w:rPr>
          <w:rFonts w:ascii="Times New Roman" w:hAnsi="Times New Roman" w:cs="Times New Roman"/>
        </w:rPr>
      </w:pPr>
      <w:r>
        <w:rPr>
          <w:rFonts w:ascii="Times New Roman" w:hAnsi="Times New Roman" w:cs="Times New Roman"/>
        </w:rPr>
        <w:t>bestendigheidsbeginsel;</w:t>
      </w:r>
    </w:p>
    <w:p w:rsidR="00561D90" w:rsidRDefault="00561D90" w:rsidP="00561D90">
      <w:pPr>
        <w:pStyle w:val="ListParagraph"/>
        <w:numPr>
          <w:ilvl w:val="0"/>
          <w:numId w:val="1"/>
        </w:numPr>
        <w:spacing w:after="0"/>
        <w:rPr>
          <w:rFonts w:ascii="Times New Roman" w:hAnsi="Times New Roman" w:cs="Times New Roman"/>
        </w:rPr>
      </w:pPr>
      <w:r>
        <w:rPr>
          <w:rFonts w:ascii="Times New Roman" w:hAnsi="Times New Roman" w:cs="Times New Roman"/>
        </w:rPr>
        <w:t>voorzichtigheidsbeginsel.</w:t>
      </w:r>
    </w:p>
    <w:p w:rsidR="00561D90" w:rsidRDefault="00561D90" w:rsidP="00561D90">
      <w:pPr>
        <w:spacing w:after="0"/>
        <w:rPr>
          <w:rFonts w:ascii="Times New Roman" w:hAnsi="Times New Roman" w:cs="Times New Roman"/>
        </w:rPr>
      </w:pPr>
    </w:p>
    <w:p w:rsidR="00561D90" w:rsidRPr="001E6E1E" w:rsidRDefault="00561D90" w:rsidP="00561D90">
      <w:pPr>
        <w:pStyle w:val="ListParagraph"/>
        <w:numPr>
          <w:ilvl w:val="0"/>
          <w:numId w:val="2"/>
        </w:numPr>
        <w:spacing w:after="0"/>
        <w:rPr>
          <w:rFonts w:ascii="Times New Roman" w:hAnsi="Times New Roman" w:cs="Times New Roman"/>
        </w:rPr>
      </w:pPr>
      <w:r w:rsidRPr="00D2794B">
        <w:rPr>
          <w:rFonts w:ascii="Times New Roman" w:hAnsi="Times New Roman" w:cs="Times New Roman"/>
        </w:rPr>
        <w:t>Een geconsolideerde jaarrekening is de jaarrekening van een groep met elkaar verbonden ondernemingen</w:t>
      </w:r>
      <w:r>
        <w:rPr>
          <w:rFonts w:ascii="Times New Roman" w:hAnsi="Times New Roman" w:cs="Times New Roman"/>
        </w:rPr>
        <w:t xml:space="preserve">. </w:t>
      </w:r>
      <w:r w:rsidRPr="00D2794B">
        <w:rPr>
          <w:rFonts w:ascii="Times New Roman" w:hAnsi="Times New Roman" w:cs="Times New Roman"/>
        </w:rPr>
        <w:t>De geconsolideerde jaarrekening verschaft dan een beeld van de financiële situatie van het gehele concern.</w:t>
      </w:r>
    </w:p>
    <w:p w:rsidR="00561D90" w:rsidRDefault="00561D90" w:rsidP="00561D90">
      <w:pPr>
        <w:spacing w:after="0"/>
        <w:rPr>
          <w:rFonts w:ascii="Times New Roman" w:hAnsi="Times New Roman" w:cs="Times New Roman"/>
        </w:rPr>
      </w:pPr>
    </w:p>
    <w:p w:rsidR="00561D90" w:rsidRPr="00E77832" w:rsidRDefault="00561D90" w:rsidP="00561D90">
      <w:pPr>
        <w:spacing w:after="0"/>
        <w:rPr>
          <w:rFonts w:ascii="Times New Roman" w:hAnsi="Times New Roman" w:cs="Times New Roman"/>
          <w:b/>
        </w:rPr>
      </w:pPr>
      <w:r w:rsidRPr="00E77832">
        <w:rPr>
          <w:rFonts w:ascii="Times New Roman" w:hAnsi="Times New Roman" w:cs="Times New Roman"/>
          <w:b/>
        </w:rPr>
        <w:t>Opgave 4.11</w:t>
      </w:r>
    </w:p>
    <w:p w:rsidR="00561D90" w:rsidRDefault="00561D90" w:rsidP="00561D90">
      <w:pPr>
        <w:pStyle w:val="ListParagraph"/>
        <w:numPr>
          <w:ilvl w:val="0"/>
          <w:numId w:val="3"/>
        </w:numPr>
        <w:spacing w:after="0"/>
        <w:rPr>
          <w:rFonts w:ascii="Times New Roman" w:hAnsi="Times New Roman" w:cs="Times New Roman"/>
        </w:rPr>
      </w:pPr>
      <w:r>
        <w:rPr>
          <w:rFonts w:ascii="Times New Roman" w:hAnsi="Times New Roman" w:cs="Times New Roman"/>
        </w:rPr>
        <w:t>Bij het opstellen van de jaarrekening moet rekening worden gehouden met:</w:t>
      </w:r>
    </w:p>
    <w:p w:rsidR="00561D90" w:rsidRPr="00D97D41" w:rsidRDefault="00561D90" w:rsidP="00561D90">
      <w:pPr>
        <w:pStyle w:val="ListParagraph"/>
        <w:numPr>
          <w:ilvl w:val="0"/>
          <w:numId w:val="1"/>
        </w:numPr>
        <w:spacing w:after="0"/>
        <w:rPr>
          <w:rFonts w:ascii="Times New Roman" w:hAnsi="Times New Roman" w:cs="Times New Roman"/>
        </w:rPr>
      </w:pPr>
      <w:r w:rsidRPr="00D97D41">
        <w:rPr>
          <w:rFonts w:ascii="Times New Roman" w:hAnsi="Times New Roman" w:cs="Times New Roman"/>
        </w:rPr>
        <w:t>Titel 9 Boek 2 van het Burgerlijk Wetboek (BW);</w:t>
      </w:r>
    </w:p>
    <w:p w:rsidR="00561D90" w:rsidRPr="00D97D41" w:rsidRDefault="00561D90" w:rsidP="00561D90">
      <w:pPr>
        <w:pStyle w:val="ListParagraph"/>
        <w:numPr>
          <w:ilvl w:val="0"/>
          <w:numId w:val="1"/>
        </w:numPr>
        <w:spacing w:after="0"/>
        <w:rPr>
          <w:rFonts w:ascii="Times New Roman" w:hAnsi="Times New Roman" w:cs="Times New Roman"/>
        </w:rPr>
      </w:pPr>
      <w:r w:rsidRPr="00D97D41">
        <w:rPr>
          <w:rFonts w:ascii="Times New Roman" w:hAnsi="Times New Roman" w:cs="Times New Roman"/>
        </w:rPr>
        <w:t>Richtlijnen voor de Jaarverslaggeving (RJ);</w:t>
      </w:r>
    </w:p>
    <w:p w:rsidR="00561D90" w:rsidRPr="00D97D41" w:rsidRDefault="00561D90" w:rsidP="00561D90">
      <w:pPr>
        <w:pStyle w:val="ListParagraph"/>
        <w:numPr>
          <w:ilvl w:val="0"/>
          <w:numId w:val="1"/>
        </w:numPr>
        <w:spacing w:after="0"/>
        <w:rPr>
          <w:rFonts w:ascii="Times New Roman" w:hAnsi="Times New Roman" w:cs="Times New Roman"/>
        </w:rPr>
      </w:pPr>
      <w:r w:rsidRPr="00D97D41">
        <w:rPr>
          <w:rFonts w:ascii="Times New Roman" w:hAnsi="Times New Roman" w:cs="Times New Roman"/>
        </w:rPr>
        <w:t>International Financial Reporting Standards (IFRS);</w:t>
      </w:r>
    </w:p>
    <w:p w:rsidR="00561D90" w:rsidRDefault="00561D90" w:rsidP="00561D90">
      <w:pPr>
        <w:pStyle w:val="ListParagraph"/>
        <w:numPr>
          <w:ilvl w:val="0"/>
          <w:numId w:val="1"/>
        </w:numPr>
        <w:spacing w:after="0"/>
        <w:rPr>
          <w:rFonts w:ascii="Times New Roman" w:hAnsi="Times New Roman" w:cs="Times New Roman"/>
        </w:rPr>
      </w:pPr>
      <w:r w:rsidRPr="00D97D41">
        <w:rPr>
          <w:rFonts w:ascii="Times New Roman" w:hAnsi="Times New Roman" w:cs="Times New Roman"/>
        </w:rPr>
        <w:t>Code Tabaksblat.</w:t>
      </w:r>
    </w:p>
    <w:p w:rsidR="00561D90" w:rsidRDefault="00561D90" w:rsidP="00561D90">
      <w:pPr>
        <w:spacing w:after="0"/>
        <w:rPr>
          <w:rFonts w:ascii="Times New Roman" w:hAnsi="Times New Roman" w:cs="Times New Roman"/>
        </w:rPr>
      </w:pPr>
    </w:p>
    <w:p w:rsidR="00561D90" w:rsidRDefault="00561D90" w:rsidP="00561D90">
      <w:pPr>
        <w:pStyle w:val="ListParagraph"/>
        <w:numPr>
          <w:ilvl w:val="0"/>
          <w:numId w:val="3"/>
        </w:numPr>
        <w:spacing w:after="0"/>
        <w:rPr>
          <w:rFonts w:ascii="Times New Roman" w:hAnsi="Times New Roman" w:cs="Times New Roman"/>
        </w:rPr>
      </w:pPr>
      <w:r>
        <w:rPr>
          <w:rFonts w:ascii="Times New Roman" w:hAnsi="Times New Roman" w:cs="Times New Roman"/>
        </w:rPr>
        <w:t>Categorieën rechtspersonen:</w:t>
      </w:r>
    </w:p>
    <w:p w:rsidR="00561D90" w:rsidRDefault="00561D90" w:rsidP="00561D90">
      <w:pPr>
        <w:pStyle w:val="ListParagraph"/>
        <w:numPr>
          <w:ilvl w:val="0"/>
          <w:numId w:val="1"/>
        </w:numPr>
        <w:spacing w:after="0"/>
        <w:rPr>
          <w:rFonts w:ascii="Times New Roman" w:hAnsi="Times New Roman" w:cs="Times New Roman"/>
        </w:rPr>
      </w:pPr>
      <w:r>
        <w:rPr>
          <w:rFonts w:ascii="Times New Roman" w:hAnsi="Times New Roman" w:cs="Times New Roman"/>
        </w:rPr>
        <w:t>micro-rechtspersonen;</w:t>
      </w:r>
    </w:p>
    <w:p w:rsidR="00561D90" w:rsidRDefault="00561D90" w:rsidP="00561D90">
      <w:pPr>
        <w:pStyle w:val="ListParagraph"/>
        <w:numPr>
          <w:ilvl w:val="0"/>
          <w:numId w:val="1"/>
        </w:numPr>
        <w:spacing w:after="0"/>
        <w:rPr>
          <w:rFonts w:ascii="Times New Roman" w:hAnsi="Times New Roman" w:cs="Times New Roman"/>
        </w:rPr>
      </w:pPr>
      <w:r>
        <w:rPr>
          <w:rFonts w:ascii="Times New Roman" w:hAnsi="Times New Roman" w:cs="Times New Roman"/>
        </w:rPr>
        <w:t>kleine rechtspersonen;</w:t>
      </w:r>
    </w:p>
    <w:p w:rsidR="00561D90" w:rsidRDefault="00561D90" w:rsidP="00561D90">
      <w:pPr>
        <w:pStyle w:val="ListParagraph"/>
        <w:numPr>
          <w:ilvl w:val="0"/>
          <w:numId w:val="1"/>
        </w:numPr>
        <w:spacing w:after="0"/>
        <w:rPr>
          <w:rFonts w:ascii="Times New Roman" w:hAnsi="Times New Roman" w:cs="Times New Roman"/>
        </w:rPr>
      </w:pPr>
      <w:r>
        <w:rPr>
          <w:rFonts w:ascii="Times New Roman" w:hAnsi="Times New Roman" w:cs="Times New Roman"/>
        </w:rPr>
        <w:t>middelgrote rechtspersonen;</w:t>
      </w:r>
    </w:p>
    <w:p w:rsidR="00561D90" w:rsidRDefault="00561D90" w:rsidP="00561D90">
      <w:pPr>
        <w:pStyle w:val="ListParagraph"/>
        <w:numPr>
          <w:ilvl w:val="0"/>
          <w:numId w:val="1"/>
        </w:numPr>
        <w:spacing w:after="0"/>
        <w:rPr>
          <w:rFonts w:ascii="Times New Roman" w:hAnsi="Times New Roman" w:cs="Times New Roman"/>
        </w:rPr>
      </w:pPr>
      <w:r>
        <w:rPr>
          <w:rFonts w:ascii="Times New Roman" w:hAnsi="Times New Roman" w:cs="Times New Roman"/>
        </w:rPr>
        <w:t>grote rechtspersonen.</w:t>
      </w:r>
    </w:p>
    <w:p w:rsidR="00561D90" w:rsidRDefault="00561D90" w:rsidP="00561D90">
      <w:pPr>
        <w:spacing w:after="0"/>
        <w:rPr>
          <w:rFonts w:ascii="Times New Roman" w:hAnsi="Times New Roman" w:cs="Times New Roman"/>
        </w:rPr>
      </w:pPr>
    </w:p>
    <w:p w:rsidR="00561D90" w:rsidRDefault="00561D90" w:rsidP="00561D90">
      <w:pPr>
        <w:spacing w:after="0"/>
        <w:rPr>
          <w:rFonts w:ascii="Times New Roman" w:hAnsi="Times New Roman" w:cs="Times New Roman"/>
          <w:b/>
        </w:rPr>
      </w:pPr>
      <w:r>
        <w:rPr>
          <w:rFonts w:ascii="Times New Roman" w:hAnsi="Times New Roman" w:cs="Times New Roman"/>
          <w:b/>
        </w:rPr>
        <w:t>Opgave 4.12</w:t>
      </w:r>
    </w:p>
    <w:p w:rsidR="00561D90" w:rsidRPr="00F926B5" w:rsidRDefault="00561D90" w:rsidP="00561D90">
      <w:pPr>
        <w:pStyle w:val="ListParagraph"/>
        <w:numPr>
          <w:ilvl w:val="0"/>
          <w:numId w:val="4"/>
        </w:numPr>
        <w:spacing w:after="0"/>
        <w:rPr>
          <w:rFonts w:ascii="Times New Roman" w:hAnsi="Times New Roman" w:cs="Times New Roman"/>
        </w:rPr>
      </w:pPr>
      <w:r w:rsidRPr="00F926B5">
        <w:rPr>
          <w:rFonts w:ascii="Times New Roman" w:hAnsi="Times New Roman" w:cs="Times New Roman"/>
        </w:rPr>
        <w:t>Volgens het matchingprincipe worden kosten toegerekend aan de periode waarin de kosten daadwerkelijk zijn gemaakt.</w:t>
      </w:r>
    </w:p>
    <w:p w:rsidR="00561D90" w:rsidRDefault="00561D90" w:rsidP="00561D90">
      <w:pPr>
        <w:spacing w:after="0"/>
        <w:rPr>
          <w:rFonts w:ascii="Times New Roman" w:hAnsi="Times New Roman" w:cs="Times New Roman"/>
        </w:rPr>
      </w:pPr>
    </w:p>
    <w:p w:rsidR="00561D90" w:rsidRPr="00F926B5" w:rsidRDefault="00561D90" w:rsidP="00561D90">
      <w:pPr>
        <w:pStyle w:val="ListParagraph"/>
        <w:numPr>
          <w:ilvl w:val="0"/>
          <w:numId w:val="4"/>
        </w:numPr>
        <w:spacing w:after="0"/>
        <w:rPr>
          <w:rFonts w:ascii="Times New Roman" w:hAnsi="Times New Roman" w:cs="Times New Roman"/>
        </w:rPr>
      </w:pPr>
      <w:r w:rsidRPr="00F926B5">
        <w:rPr>
          <w:rFonts w:ascii="Times New Roman" w:hAnsi="Times New Roman" w:cs="Times New Roman"/>
        </w:rPr>
        <w:t>De waardevermindering van de machine gedurende vier jaar is € 21.000. De afschrijvingskosten worden verdeeld over de vier jaren, gebaseerd op de waardevermindering van ieder jaar. Als de waarde van een machine in het eerste jaar sterk daalt, wordt in het eerste jaar een hoger bedrag afgeschreven dan in de andere jaren.</w:t>
      </w:r>
    </w:p>
    <w:p w:rsidR="00561D90" w:rsidRPr="00472DF4" w:rsidRDefault="00561D90" w:rsidP="00561D90">
      <w:pPr>
        <w:pStyle w:val="ListParagraph"/>
        <w:rPr>
          <w:rFonts w:ascii="Times New Roman" w:hAnsi="Times New Roman" w:cs="Times New Roman"/>
        </w:rPr>
      </w:pPr>
    </w:p>
    <w:p w:rsidR="00561D90" w:rsidRDefault="00561D90" w:rsidP="00561D90">
      <w:pPr>
        <w:pStyle w:val="ListParagraph"/>
        <w:numPr>
          <w:ilvl w:val="0"/>
          <w:numId w:val="4"/>
        </w:numPr>
        <w:spacing w:after="0"/>
        <w:rPr>
          <w:rFonts w:ascii="Times New Roman" w:hAnsi="Times New Roman" w:cs="Times New Roman"/>
        </w:rPr>
      </w:pPr>
      <w:r>
        <w:rPr>
          <w:rFonts w:ascii="Times New Roman" w:hAnsi="Times New Roman" w:cs="Times New Roman"/>
        </w:rPr>
        <w:t>Het voorzichtigheidsbeginsel houdt in dat een onderneming een verlies altijd onmiddellijk neemt en niet uitstelt naar een volgende periode.</w:t>
      </w:r>
    </w:p>
    <w:p w:rsidR="00561D90" w:rsidRDefault="00561D90" w:rsidP="00561D90">
      <w:pPr>
        <w:spacing w:after="0"/>
        <w:rPr>
          <w:rFonts w:ascii="Times New Roman" w:hAnsi="Times New Roman" w:cs="Times New Roman"/>
        </w:rPr>
      </w:pPr>
    </w:p>
    <w:p w:rsidR="00561D90" w:rsidRPr="00F926B5" w:rsidRDefault="00561D90" w:rsidP="00561D90">
      <w:pPr>
        <w:spacing w:after="0"/>
        <w:rPr>
          <w:rFonts w:ascii="Times New Roman" w:hAnsi="Times New Roman" w:cs="Times New Roman"/>
          <w:b/>
        </w:rPr>
      </w:pPr>
      <w:r w:rsidRPr="00F926B5">
        <w:rPr>
          <w:rFonts w:ascii="Times New Roman" w:hAnsi="Times New Roman" w:cs="Times New Roman"/>
          <w:b/>
        </w:rPr>
        <w:t>Opgave 4.13</w:t>
      </w:r>
    </w:p>
    <w:p w:rsidR="00561D90" w:rsidRDefault="00561D90" w:rsidP="00561D90">
      <w:pPr>
        <w:pStyle w:val="ListParagraph"/>
        <w:numPr>
          <w:ilvl w:val="0"/>
          <w:numId w:val="5"/>
        </w:numPr>
        <w:spacing w:after="0"/>
        <w:rPr>
          <w:rFonts w:ascii="Times New Roman" w:hAnsi="Times New Roman" w:cs="Times New Roman"/>
        </w:rPr>
      </w:pPr>
      <w:r w:rsidRPr="00D97417">
        <w:rPr>
          <w:rFonts w:ascii="Times New Roman" w:hAnsi="Times New Roman" w:cs="Times New Roman"/>
        </w:rPr>
        <w:t xml:space="preserve">Op grond van het realisatiebeginsel mag de onderneming bij het opstellen van de jaarrekening uitsluitend de opbrengsten verantwoorden die op balansdatum daadwerkelijk zijn gerealiseerd. Dat betekent dat de goederen of diensten in het betreffende jaar verkocht én geleverd moeten </w:t>
      </w:r>
      <w:r w:rsidRPr="00D97417">
        <w:rPr>
          <w:rFonts w:ascii="Times New Roman" w:hAnsi="Times New Roman" w:cs="Times New Roman"/>
        </w:rPr>
        <w:lastRenderedPageBreak/>
        <w:t>zijn. Het moment waarop de klant heeft betaald, is niet van belang.</w:t>
      </w:r>
      <w:r>
        <w:rPr>
          <w:rFonts w:ascii="Times New Roman" w:hAnsi="Times New Roman" w:cs="Times New Roman"/>
        </w:rPr>
        <w:t xml:space="preserve"> Aangezien de goederen op 23 april zijn afgeleverd, mag de opbrengst op dat moment als gerealiseerd worden beschouwd.</w:t>
      </w:r>
    </w:p>
    <w:p w:rsidR="00561D90" w:rsidRPr="00D97417" w:rsidRDefault="00561D90" w:rsidP="00561D90">
      <w:pPr>
        <w:pStyle w:val="ListParagraph"/>
        <w:spacing w:after="0"/>
        <w:rPr>
          <w:rFonts w:ascii="Times New Roman" w:hAnsi="Times New Roman" w:cs="Times New Roman"/>
        </w:rPr>
      </w:pPr>
    </w:p>
    <w:p w:rsidR="00561D90" w:rsidRDefault="00561D90" w:rsidP="00561D90">
      <w:pPr>
        <w:pStyle w:val="ListParagraph"/>
        <w:numPr>
          <w:ilvl w:val="0"/>
          <w:numId w:val="5"/>
        </w:numPr>
        <w:spacing w:after="0"/>
        <w:rPr>
          <w:rFonts w:ascii="Times New Roman" w:hAnsi="Times New Roman" w:cs="Times New Roman"/>
        </w:rPr>
      </w:pPr>
      <w:r>
        <w:rPr>
          <w:rFonts w:ascii="Times New Roman" w:hAnsi="Times New Roman" w:cs="Times New Roman"/>
        </w:rPr>
        <w:t xml:space="preserve">Het going concern-principe, ook wel het continuïteitsbeginsel genoemd, </w:t>
      </w:r>
      <w:r w:rsidRPr="00EE5EB7">
        <w:rPr>
          <w:rFonts w:ascii="Times New Roman" w:hAnsi="Times New Roman" w:cs="Times New Roman"/>
        </w:rPr>
        <w:t>houdt in dat een onderneming er bij het opstellen van de jaarrekening vanuit moet gaan dat de activiteiten in de toekomst worden voortgezet.</w:t>
      </w:r>
    </w:p>
    <w:p w:rsidR="00561D90" w:rsidRPr="00EE5EB7" w:rsidRDefault="00561D90" w:rsidP="00561D90">
      <w:pPr>
        <w:pStyle w:val="ListParagraph"/>
        <w:rPr>
          <w:rFonts w:ascii="Times New Roman" w:hAnsi="Times New Roman" w:cs="Times New Roman"/>
        </w:rPr>
      </w:pPr>
    </w:p>
    <w:p w:rsidR="00561D90" w:rsidRDefault="00561D90" w:rsidP="00561D90">
      <w:pPr>
        <w:pStyle w:val="ListParagraph"/>
        <w:numPr>
          <w:ilvl w:val="0"/>
          <w:numId w:val="5"/>
        </w:numPr>
        <w:spacing w:after="0"/>
        <w:rPr>
          <w:rFonts w:ascii="Times New Roman" w:hAnsi="Times New Roman" w:cs="Times New Roman"/>
        </w:rPr>
      </w:pPr>
      <w:r>
        <w:rPr>
          <w:rFonts w:ascii="Times New Roman" w:hAnsi="Times New Roman" w:cs="Times New Roman"/>
        </w:rPr>
        <w:t xml:space="preserve">Als </w:t>
      </w:r>
      <w:r w:rsidRPr="00EE5EB7">
        <w:rPr>
          <w:rFonts w:ascii="Times New Roman" w:hAnsi="Times New Roman" w:cs="Times New Roman"/>
        </w:rPr>
        <w:t xml:space="preserve">vrijwel zeker </w:t>
      </w:r>
      <w:r>
        <w:rPr>
          <w:rFonts w:ascii="Times New Roman" w:hAnsi="Times New Roman" w:cs="Times New Roman"/>
        </w:rPr>
        <w:t xml:space="preserve">is </w:t>
      </w:r>
      <w:r w:rsidRPr="00EE5EB7">
        <w:rPr>
          <w:rFonts w:ascii="Times New Roman" w:hAnsi="Times New Roman" w:cs="Times New Roman"/>
        </w:rPr>
        <w:t xml:space="preserve">dat </w:t>
      </w:r>
      <w:r>
        <w:rPr>
          <w:rFonts w:ascii="Times New Roman" w:hAnsi="Times New Roman" w:cs="Times New Roman"/>
        </w:rPr>
        <w:t xml:space="preserve">de onderneming haar </w:t>
      </w:r>
      <w:r w:rsidRPr="00EE5EB7">
        <w:rPr>
          <w:rFonts w:ascii="Times New Roman" w:hAnsi="Times New Roman" w:cs="Times New Roman"/>
        </w:rPr>
        <w:t>activiteiten zal staken, dan moet men bij het waarderen van de activa en passiva uitgaan van de waardering op liquidatiebasis. Deze waarde ligt veel lager, aangezien activa van een ‘lopende onderneming’ veel meer opbrengen.</w:t>
      </w:r>
    </w:p>
    <w:p w:rsidR="00561D90" w:rsidRDefault="00561D90" w:rsidP="00561D90">
      <w:pPr>
        <w:spacing w:after="0"/>
        <w:rPr>
          <w:rFonts w:ascii="Times New Roman" w:hAnsi="Times New Roman" w:cs="Times New Roman"/>
        </w:rPr>
      </w:pPr>
    </w:p>
    <w:p w:rsidR="00561D90" w:rsidRPr="0080651A" w:rsidRDefault="00561D90" w:rsidP="00561D90">
      <w:pPr>
        <w:spacing w:after="0"/>
        <w:rPr>
          <w:rFonts w:ascii="Times New Roman" w:hAnsi="Times New Roman" w:cs="Times New Roman"/>
          <w:b/>
        </w:rPr>
      </w:pPr>
      <w:r w:rsidRPr="0080651A">
        <w:rPr>
          <w:rFonts w:ascii="Times New Roman" w:hAnsi="Times New Roman" w:cs="Times New Roman"/>
          <w:b/>
        </w:rPr>
        <w:t>Opgave 4.14</w:t>
      </w:r>
    </w:p>
    <w:p w:rsidR="00561D90" w:rsidRDefault="00561D90" w:rsidP="00561D90">
      <w:pPr>
        <w:pStyle w:val="ListParagraph"/>
        <w:numPr>
          <w:ilvl w:val="0"/>
          <w:numId w:val="6"/>
        </w:numPr>
        <w:spacing w:after="0"/>
        <w:rPr>
          <w:rFonts w:ascii="Times New Roman" w:hAnsi="Times New Roman" w:cs="Times New Roman"/>
        </w:rPr>
      </w:pPr>
      <w:r>
        <w:rPr>
          <w:rFonts w:ascii="Times New Roman" w:hAnsi="Times New Roman" w:cs="Times New Roman"/>
        </w:rPr>
        <w:t>De winst-en-verliesrekening verschaft inzicht in het resultaat van de onderneming gedurende een bepaalde periode. Hierop staan alle kosten en opbrengsten verantwoord; het saldo van kosten en opbrengsten vormt het bedrijfsresultaat.</w:t>
      </w:r>
    </w:p>
    <w:p w:rsidR="00561D90" w:rsidRDefault="00561D90" w:rsidP="00561D90">
      <w:pPr>
        <w:spacing w:after="0"/>
        <w:ind w:left="360"/>
        <w:rPr>
          <w:rFonts w:ascii="Times New Roman" w:hAnsi="Times New Roman" w:cs="Times New Roman"/>
        </w:rPr>
      </w:pPr>
    </w:p>
    <w:p w:rsidR="00561D90" w:rsidRPr="00002C93" w:rsidRDefault="00561D90" w:rsidP="00561D90">
      <w:pPr>
        <w:pStyle w:val="ListParagraph"/>
        <w:numPr>
          <w:ilvl w:val="0"/>
          <w:numId w:val="6"/>
        </w:numPr>
        <w:spacing w:after="0"/>
        <w:rPr>
          <w:rFonts w:ascii="Times New Roman" w:hAnsi="Times New Roman" w:cs="Times New Roman"/>
        </w:rPr>
      </w:pPr>
      <w:r>
        <w:rPr>
          <w:rFonts w:ascii="Times New Roman" w:hAnsi="Times New Roman" w:cs="Times New Roman"/>
        </w:rPr>
        <w:t>Categorale winst-en-verliesrekening en functionele winst-en-verliesrekening.</w:t>
      </w:r>
    </w:p>
    <w:p w:rsidR="00561D90" w:rsidRPr="001F5E2E" w:rsidRDefault="00561D90" w:rsidP="00561D90">
      <w:pPr>
        <w:pStyle w:val="ListParagraph"/>
        <w:rPr>
          <w:rFonts w:ascii="Times New Roman" w:hAnsi="Times New Roman" w:cs="Times New Roman"/>
        </w:rPr>
      </w:pPr>
    </w:p>
    <w:p w:rsidR="00561D90" w:rsidRDefault="00561D90" w:rsidP="00561D90">
      <w:pPr>
        <w:pStyle w:val="ListParagraph"/>
        <w:numPr>
          <w:ilvl w:val="0"/>
          <w:numId w:val="6"/>
        </w:numPr>
        <w:spacing w:after="0"/>
        <w:rPr>
          <w:rFonts w:ascii="Times New Roman" w:hAnsi="Times New Roman" w:cs="Times New Roman"/>
        </w:rPr>
      </w:pPr>
      <w:r>
        <w:rPr>
          <w:rFonts w:ascii="Times New Roman" w:hAnsi="Times New Roman" w:cs="Times New Roman"/>
        </w:rPr>
        <w:t>Bij kosten die geen uitgaven zijn, maakt een onderneming wel degelijk kosten, maar leidt dit niet tot een vermindering van de liquide middelen (uitgave).</w:t>
      </w:r>
    </w:p>
    <w:p w:rsidR="00561D90" w:rsidRPr="00DD4634" w:rsidRDefault="00561D90" w:rsidP="00561D90">
      <w:pPr>
        <w:pStyle w:val="ListParagraph"/>
        <w:rPr>
          <w:rFonts w:ascii="Times New Roman" w:hAnsi="Times New Roman" w:cs="Times New Roman"/>
        </w:rPr>
      </w:pPr>
    </w:p>
    <w:p w:rsidR="00561D90" w:rsidRDefault="00561D90" w:rsidP="00561D90">
      <w:pPr>
        <w:pStyle w:val="ListParagraph"/>
        <w:numPr>
          <w:ilvl w:val="0"/>
          <w:numId w:val="6"/>
        </w:numPr>
        <w:spacing w:after="0"/>
        <w:rPr>
          <w:rFonts w:ascii="Times New Roman" w:hAnsi="Times New Roman" w:cs="Times New Roman"/>
        </w:rPr>
      </w:pPr>
      <w:r>
        <w:rPr>
          <w:rFonts w:ascii="Times New Roman" w:hAnsi="Times New Roman" w:cs="Times New Roman"/>
        </w:rPr>
        <w:t>Overeenkomst tussen afschrijvingen en voorzieningen: in beide gevallen is er sprake van kosten en geen uitgave op korte termijn.</w:t>
      </w:r>
    </w:p>
    <w:p w:rsidR="00561D90" w:rsidRDefault="00561D90" w:rsidP="00561D90">
      <w:pPr>
        <w:pStyle w:val="ListParagraph"/>
        <w:spacing w:after="0"/>
        <w:rPr>
          <w:rFonts w:ascii="Times New Roman" w:hAnsi="Times New Roman" w:cs="Times New Roman"/>
        </w:rPr>
      </w:pPr>
      <w:r>
        <w:rPr>
          <w:rFonts w:ascii="Times New Roman" w:hAnsi="Times New Roman" w:cs="Times New Roman"/>
        </w:rPr>
        <w:t>Verschil: bij afschrijving vindt eerst de investering plaats en maakt de onderneming pas daarna (afschrijvings)kosten; bij een voorziening worden eerst de kosten gemaakt (door de vorming van de voorziening) en vindt pas op een later moment de uitgave plaats (die ten laste van de voorziening wordt gedaan).</w:t>
      </w:r>
    </w:p>
    <w:p w:rsidR="00561D90" w:rsidRDefault="00561D90" w:rsidP="00561D90">
      <w:pPr>
        <w:spacing w:after="0"/>
        <w:rPr>
          <w:rFonts w:ascii="Times New Roman" w:hAnsi="Times New Roman" w:cs="Times New Roman"/>
        </w:rPr>
      </w:pPr>
    </w:p>
    <w:p w:rsidR="00561D90" w:rsidRPr="007559A6" w:rsidRDefault="00561D90" w:rsidP="00561D90">
      <w:pPr>
        <w:spacing w:after="0"/>
        <w:rPr>
          <w:rFonts w:ascii="Times New Roman" w:hAnsi="Times New Roman" w:cs="Times New Roman"/>
          <w:b/>
        </w:rPr>
      </w:pPr>
      <w:r w:rsidRPr="007559A6">
        <w:rPr>
          <w:rFonts w:ascii="Times New Roman" w:hAnsi="Times New Roman" w:cs="Times New Roman"/>
          <w:b/>
        </w:rPr>
        <w:t>Opgave 4.15</w:t>
      </w:r>
    </w:p>
    <w:p w:rsidR="00561D90" w:rsidRPr="007559A6" w:rsidRDefault="00561D90" w:rsidP="00561D90">
      <w:pPr>
        <w:pStyle w:val="ListParagraph"/>
        <w:numPr>
          <w:ilvl w:val="0"/>
          <w:numId w:val="7"/>
        </w:numPr>
        <w:spacing w:after="0"/>
        <w:rPr>
          <w:rFonts w:ascii="Times New Roman" w:hAnsi="Times New Roman" w:cs="Times New Roman"/>
        </w:rPr>
      </w:pPr>
      <w:r w:rsidRPr="007559A6">
        <w:rPr>
          <w:rFonts w:ascii="Times New Roman" w:hAnsi="Times New Roman" w:cs="Times New Roman"/>
        </w:rPr>
        <w:t>Verschillen tussen voorzieningen en reserves:</w:t>
      </w:r>
    </w:p>
    <w:p w:rsidR="00561D90" w:rsidRDefault="00561D90" w:rsidP="00561D90">
      <w:pPr>
        <w:pStyle w:val="ListParagraph"/>
        <w:numPr>
          <w:ilvl w:val="0"/>
          <w:numId w:val="1"/>
        </w:numPr>
        <w:spacing w:after="0"/>
        <w:rPr>
          <w:rFonts w:ascii="Times New Roman" w:hAnsi="Times New Roman" w:cs="Times New Roman"/>
        </w:rPr>
      </w:pPr>
      <w:r>
        <w:rPr>
          <w:rFonts w:ascii="Times New Roman" w:hAnsi="Times New Roman" w:cs="Times New Roman"/>
        </w:rPr>
        <w:t>Een voorziening behoort tot het vreemd vermogen; een reserve behoort tot het eigen vermogen.</w:t>
      </w:r>
    </w:p>
    <w:p w:rsidR="00561D90" w:rsidRPr="00651586" w:rsidRDefault="00561D90" w:rsidP="00561D90">
      <w:pPr>
        <w:pStyle w:val="ListParagraph"/>
        <w:numPr>
          <w:ilvl w:val="0"/>
          <w:numId w:val="1"/>
        </w:numPr>
        <w:spacing w:after="0"/>
        <w:rPr>
          <w:rFonts w:ascii="Times New Roman" w:hAnsi="Times New Roman" w:cs="Times New Roman"/>
        </w:rPr>
      </w:pPr>
      <w:r>
        <w:rPr>
          <w:rFonts w:ascii="Times New Roman" w:hAnsi="Times New Roman" w:cs="Times New Roman"/>
        </w:rPr>
        <w:t>Uit het ontstaan van een voorziening vloeit een verplichting voort. Bij een reserve is dit niet het geval.</w:t>
      </w:r>
    </w:p>
    <w:p w:rsidR="00561D90" w:rsidRDefault="00561D90" w:rsidP="00561D90">
      <w:pPr>
        <w:spacing w:after="0"/>
        <w:rPr>
          <w:rFonts w:ascii="Times New Roman" w:hAnsi="Times New Roman" w:cs="Times New Roman"/>
        </w:rPr>
      </w:pPr>
    </w:p>
    <w:p w:rsidR="00561D90" w:rsidRDefault="00561D90" w:rsidP="00561D90">
      <w:pPr>
        <w:pStyle w:val="ListParagraph"/>
        <w:numPr>
          <w:ilvl w:val="0"/>
          <w:numId w:val="7"/>
        </w:numPr>
        <w:spacing w:after="0"/>
        <w:rPr>
          <w:rFonts w:ascii="Times New Roman" w:hAnsi="Times New Roman" w:cs="Times New Roman"/>
        </w:rPr>
      </w:pPr>
      <w:r>
        <w:rPr>
          <w:rFonts w:ascii="Times New Roman" w:hAnsi="Times New Roman" w:cs="Times New Roman"/>
        </w:rPr>
        <w:t>Een pensioenvoorziening.</w:t>
      </w:r>
    </w:p>
    <w:p w:rsidR="00561D90" w:rsidRDefault="00561D90" w:rsidP="00561D90">
      <w:pPr>
        <w:spacing w:after="0"/>
        <w:rPr>
          <w:rFonts w:ascii="Times New Roman" w:hAnsi="Times New Roman" w:cs="Times New Roman"/>
        </w:rPr>
      </w:pPr>
    </w:p>
    <w:p w:rsidR="00561D90" w:rsidRPr="007559A6" w:rsidRDefault="00561D90" w:rsidP="00561D90">
      <w:pPr>
        <w:spacing w:after="0"/>
        <w:rPr>
          <w:rFonts w:ascii="Times New Roman" w:hAnsi="Times New Roman" w:cs="Times New Roman"/>
          <w:b/>
        </w:rPr>
      </w:pPr>
      <w:r w:rsidRPr="007559A6">
        <w:rPr>
          <w:rFonts w:ascii="Times New Roman" w:hAnsi="Times New Roman" w:cs="Times New Roman"/>
          <w:b/>
        </w:rPr>
        <w:t>Opgave 4.16</w:t>
      </w:r>
    </w:p>
    <w:p w:rsidR="00561D90" w:rsidRDefault="00561D90" w:rsidP="00561D90">
      <w:pPr>
        <w:spacing w:after="0"/>
        <w:rPr>
          <w:rFonts w:ascii="Times New Roman" w:hAnsi="Times New Roman" w:cs="Times New Roman"/>
        </w:rPr>
      </w:pPr>
      <w:r>
        <w:rPr>
          <w:rFonts w:ascii="Times New Roman" w:hAnsi="Times New Roman" w:cs="Times New Roman"/>
        </w:rPr>
        <w:t>Een kasstroom</w:t>
      </w:r>
      <w:r w:rsidRPr="001058E5">
        <w:rPr>
          <w:rFonts w:ascii="Times New Roman" w:hAnsi="Times New Roman" w:cs="Times New Roman"/>
        </w:rPr>
        <w:t>overzicht verschaft inzicht in de inkomende en uitgaande geldstromen tijdens het betreffende boekjaar. Dit is belangrijk omdat ondernemingen die winst maken (en dus een prachtige winst-en-verliesrekening kunnen tonen) desondanks toch financiële problemen kunnen hebben doordat ze onvoldoende liquide middelen hebben. Uit de jaarrekening blijkt dit soms helemaal niet, bijvoorbeeld omdat de balans per balansdatum ‘toevallig’ een geruststellend banksaldo vertoont.</w:t>
      </w:r>
    </w:p>
    <w:p w:rsidR="00561D90" w:rsidRDefault="00561D90" w:rsidP="00561D90">
      <w:pPr>
        <w:spacing w:after="0"/>
        <w:rPr>
          <w:rFonts w:ascii="Times New Roman" w:hAnsi="Times New Roman" w:cs="Times New Roman"/>
        </w:rPr>
      </w:pPr>
    </w:p>
    <w:p w:rsidR="00561D90" w:rsidRPr="001058E5" w:rsidRDefault="00561D90" w:rsidP="00561D90">
      <w:pPr>
        <w:spacing w:after="0"/>
        <w:rPr>
          <w:rFonts w:ascii="Times New Roman" w:hAnsi="Times New Roman" w:cs="Times New Roman"/>
          <w:b/>
        </w:rPr>
      </w:pPr>
      <w:r w:rsidRPr="001058E5">
        <w:rPr>
          <w:rFonts w:ascii="Times New Roman" w:hAnsi="Times New Roman" w:cs="Times New Roman"/>
          <w:b/>
        </w:rPr>
        <w:t>Opgave 4.17</w:t>
      </w:r>
    </w:p>
    <w:p w:rsidR="00561D90" w:rsidRDefault="00561D90" w:rsidP="00561D90">
      <w:pPr>
        <w:pStyle w:val="ListParagraph"/>
        <w:numPr>
          <w:ilvl w:val="0"/>
          <w:numId w:val="8"/>
        </w:numPr>
        <w:spacing w:after="0"/>
        <w:rPr>
          <w:rFonts w:ascii="Times New Roman" w:hAnsi="Times New Roman" w:cs="Times New Roman"/>
        </w:rPr>
      </w:pPr>
      <w:r>
        <w:rPr>
          <w:rFonts w:ascii="Times New Roman" w:hAnsi="Times New Roman" w:cs="Times New Roman"/>
        </w:rPr>
        <w:t>Matchingbeginsel: de kosten en opbrengsten moeten worden toegerekend aan de periode waarop ze betrekking hebben.</w:t>
      </w:r>
    </w:p>
    <w:p w:rsidR="00561D90" w:rsidRDefault="00561D90" w:rsidP="00561D90">
      <w:pPr>
        <w:spacing w:after="0"/>
        <w:rPr>
          <w:rFonts w:ascii="Times New Roman" w:hAnsi="Times New Roman" w:cs="Times New Roman"/>
        </w:rPr>
      </w:pPr>
    </w:p>
    <w:p w:rsidR="00561D90" w:rsidRDefault="00561D90" w:rsidP="00561D90">
      <w:pPr>
        <w:pStyle w:val="ListParagraph"/>
        <w:numPr>
          <w:ilvl w:val="0"/>
          <w:numId w:val="8"/>
        </w:numPr>
        <w:spacing w:after="0"/>
        <w:rPr>
          <w:rFonts w:ascii="Times New Roman" w:hAnsi="Times New Roman" w:cs="Times New Roman"/>
        </w:rPr>
      </w:pPr>
      <w:r>
        <w:rPr>
          <w:rFonts w:ascii="Times New Roman" w:hAnsi="Times New Roman" w:cs="Times New Roman"/>
        </w:rPr>
        <w:t>De reserveringen in de maanden mei tot en met december 2016 moeten worden toegerekend aan 2016 en de reserveringen in de maanden januari tot en met april 2017 moeten worden toegerekend aan 2017.</w:t>
      </w:r>
    </w:p>
    <w:p w:rsidR="00561D90" w:rsidRDefault="00561D90" w:rsidP="00561D90">
      <w:pPr>
        <w:spacing w:after="0"/>
        <w:rPr>
          <w:rFonts w:ascii="Times New Roman" w:hAnsi="Times New Roman" w:cs="Times New Roman"/>
        </w:rPr>
      </w:pPr>
    </w:p>
    <w:p w:rsidR="00561D90" w:rsidRPr="006E24B9" w:rsidRDefault="00561D90" w:rsidP="00561D90">
      <w:pPr>
        <w:spacing w:after="0"/>
        <w:rPr>
          <w:rFonts w:ascii="Times New Roman" w:hAnsi="Times New Roman" w:cs="Times New Roman"/>
          <w:b/>
        </w:rPr>
      </w:pPr>
      <w:r w:rsidRPr="006E24B9">
        <w:rPr>
          <w:rFonts w:ascii="Times New Roman" w:hAnsi="Times New Roman" w:cs="Times New Roman"/>
          <w:b/>
        </w:rPr>
        <w:t>Opgave 4.18</w:t>
      </w:r>
    </w:p>
    <w:p w:rsidR="00561D90" w:rsidRDefault="00561D90" w:rsidP="00561D90">
      <w:pPr>
        <w:pStyle w:val="ListParagraph"/>
        <w:numPr>
          <w:ilvl w:val="0"/>
          <w:numId w:val="9"/>
        </w:numPr>
        <w:spacing w:after="0"/>
        <w:rPr>
          <w:rFonts w:ascii="Times New Roman" w:hAnsi="Times New Roman" w:cs="Times New Roman"/>
        </w:rPr>
      </w:pPr>
      <w:r>
        <w:rPr>
          <w:rFonts w:ascii="Times New Roman" w:hAnsi="Times New Roman" w:cs="Times New Roman"/>
        </w:rPr>
        <w:t>De transitievergoedingen voor de twee medewerkers waarvan in 2016 is besloten dat de contracten niet worden verlengd, moeten aan 2016 worden toegerekend, ook al worden de vergoedingen pas later betaald. De transitievergoedingen voor de medewerkers waarvan in 2017 is besloten dat de contracten niet worden verlengd, moeten aan 2017 worden toegerekend.</w:t>
      </w:r>
    </w:p>
    <w:p w:rsidR="00561D90" w:rsidRDefault="00561D90" w:rsidP="00561D90">
      <w:pPr>
        <w:spacing w:after="0"/>
        <w:rPr>
          <w:rFonts w:ascii="Times New Roman" w:hAnsi="Times New Roman" w:cs="Times New Roman"/>
        </w:rPr>
      </w:pPr>
    </w:p>
    <w:p w:rsidR="00561D90" w:rsidRDefault="00561D90" w:rsidP="00561D90">
      <w:pPr>
        <w:pStyle w:val="ListParagraph"/>
        <w:numPr>
          <w:ilvl w:val="0"/>
          <w:numId w:val="9"/>
        </w:numPr>
        <w:spacing w:after="0"/>
        <w:rPr>
          <w:rFonts w:ascii="Times New Roman" w:hAnsi="Times New Roman" w:cs="Times New Roman"/>
        </w:rPr>
      </w:pPr>
      <w:r>
        <w:rPr>
          <w:rFonts w:ascii="Times New Roman" w:hAnsi="Times New Roman" w:cs="Times New Roman"/>
        </w:rPr>
        <w:t>Voorzichtigheidsbeginsel.</w:t>
      </w:r>
      <w:r w:rsidRPr="001C6F15">
        <w:rPr>
          <w:rFonts w:ascii="Times New Roman" w:hAnsi="Times New Roman" w:cs="Times New Roman"/>
        </w:rPr>
        <w:t xml:space="preserve"> </w:t>
      </w:r>
    </w:p>
    <w:p w:rsidR="00561D90" w:rsidRDefault="00561D90" w:rsidP="00561D90">
      <w:pPr>
        <w:spacing w:after="0"/>
        <w:rPr>
          <w:rFonts w:ascii="Times New Roman" w:hAnsi="Times New Roman" w:cs="Times New Roman"/>
        </w:rPr>
      </w:pPr>
    </w:p>
    <w:p w:rsidR="00561D90" w:rsidRPr="001C6F15" w:rsidRDefault="00561D90" w:rsidP="00561D90">
      <w:pPr>
        <w:spacing w:after="0"/>
        <w:rPr>
          <w:rFonts w:ascii="Times New Roman" w:hAnsi="Times New Roman" w:cs="Times New Roman"/>
        </w:rPr>
      </w:pPr>
      <w:bookmarkStart w:id="0" w:name="_GoBack"/>
      <w:bookmarkEnd w:id="0"/>
    </w:p>
    <w:p w:rsidR="00561D90" w:rsidRDefault="00561D90" w:rsidP="00561D90">
      <w:pPr>
        <w:spacing w:after="0"/>
        <w:rPr>
          <w:rFonts w:ascii="Times New Roman" w:hAnsi="Times New Roman" w:cs="Times New Roman"/>
        </w:rPr>
      </w:pPr>
    </w:p>
    <w:p w:rsidR="00561D90" w:rsidRPr="006A15B1" w:rsidRDefault="00561D90" w:rsidP="00561D90">
      <w:pPr>
        <w:spacing w:after="0"/>
        <w:rPr>
          <w:rFonts w:ascii="Times New Roman" w:hAnsi="Times New Roman" w:cs="Times New Roman"/>
        </w:rPr>
      </w:pPr>
    </w:p>
    <w:p w:rsidR="00417DA1" w:rsidRDefault="00561D90"/>
    <w:sectPr w:rsidR="00417DA1" w:rsidSect="00A8526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D90" w:rsidRDefault="00561D90" w:rsidP="00504567">
      <w:pPr>
        <w:spacing w:after="0" w:line="240" w:lineRule="auto"/>
      </w:pPr>
      <w:r>
        <w:separator/>
      </w:r>
    </w:p>
  </w:endnote>
  <w:endnote w:type="continuationSeparator" w:id="0">
    <w:p w:rsidR="00561D90" w:rsidRDefault="00561D90" w:rsidP="005045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15129"/>
      <w:docPartObj>
        <w:docPartGallery w:val="Page Numbers (Bottom of Page)"/>
        <w:docPartUnique/>
      </w:docPartObj>
    </w:sdtPr>
    <w:sdtContent>
      <w:p w:rsidR="00FD3804" w:rsidRDefault="0015000E">
        <w:pPr>
          <w:pStyle w:val="Footer"/>
          <w:jc w:val="right"/>
        </w:pPr>
        <w:fldSimple w:instr=" PAGE   \* MERGEFORMAT ">
          <w:r w:rsidR="00561D90">
            <w:rPr>
              <w:noProof/>
            </w:rPr>
            <w:t>1</w:t>
          </w:r>
        </w:fldSimple>
      </w:p>
    </w:sdtContent>
  </w:sdt>
  <w:p w:rsidR="00FD3804" w:rsidRPr="00CD2D33" w:rsidRDefault="00FD3804" w:rsidP="00FD3804">
    <w:pPr>
      <w:pStyle w:val="Footer"/>
    </w:pPr>
    <w:r w:rsidRPr="00C14DB3">
      <w:rPr>
        <w:sz w:val="20"/>
        <w:szCs w:val="20"/>
      </w:rPr>
      <w:t>© Convoy Uitgevers</w:t>
    </w:r>
  </w:p>
  <w:p w:rsidR="00504567" w:rsidRDefault="005045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D90" w:rsidRDefault="00561D90" w:rsidP="00504567">
      <w:pPr>
        <w:spacing w:after="0" w:line="240" w:lineRule="auto"/>
      </w:pPr>
      <w:r>
        <w:separator/>
      </w:r>
    </w:p>
  </w:footnote>
  <w:footnote w:type="continuationSeparator" w:id="0">
    <w:p w:rsidR="00561D90" w:rsidRDefault="00561D90" w:rsidP="005045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67" w:rsidRDefault="00561D90" w:rsidP="00082534">
    <w:pPr>
      <w:pStyle w:val="Header"/>
    </w:pPr>
    <w:r>
      <w:t>Hoodstuk 4</w:t>
    </w:r>
    <w:r>
      <w:tab/>
      <w:t>VPS Personeel Organisatie Communicatie</w:t>
    </w:r>
    <w:r>
      <w:tab/>
      <w:t>08-06-2017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8DF"/>
    <w:multiLevelType w:val="hybridMultilevel"/>
    <w:tmpl w:val="0B3EAFF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8B95CB9"/>
    <w:multiLevelType w:val="hybridMultilevel"/>
    <w:tmpl w:val="E3E6747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E6D18C5"/>
    <w:multiLevelType w:val="hybridMultilevel"/>
    <w:tmpl w:val="7D44321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15164FA"/>
    <w:multiLevelType w:val="hybridMultilevel"/>
    <w:tmpl w:val="77D4765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3887D31"/>
    <w:multiLevelType w:val="hybridMultilevel"/>
    <w:tmpl w:val="5F7CAF8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AF67AFF"/>
    <w:multiLevelType w:val="hybridMultilevel"/>
    <w:tmpl w:val="77D4765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CFD5539"/>
    <w:multiLevelType w:val="hybridMultilevel"/>
    <w:tmpl w:val="19D2088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EBD32C1"/>
    <w:multiLevelType w:val="hybridMultilevel"/>
    <w:tmpl w:val="6BECA1D4"/>
    <w:lvl w:ilvl="0" w:tplc="A264743A">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788B316B"/>
    <w:multiLevelType w:val="hybridMultilevel"/>
    <w:tmpl w:val="19D2088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8"/>
  </w:num>
  <w:num w:numId="5">
    <w:abstractNumId w:val="6"/>
  </w:num>
  <w:num w:numId="6">
    <w:abstractNumId w:val="5"/>
  </w:num>
  <w:num w:numId="7">
    <w:abstractNumId w:val="2"/>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footnotePr>
    <w:footnote w:id="-1"/>
    <w:footnote w:id="0"/>
  </w:footnotePr>
  <w:endnotePr>
    <w:endnote w:id="-1"/>
    <w:endnote w:id="0"/>
  </w:endnotePr>
  <w:compat/>
  <w:rsids>
    <w:rsid w:val="00082534"/>
    <w:rsid w:val="0015000E"/>
    <w:rsid w:val="00317FBE"/>
    <w:rsid w:val="00504567"/>
    <w:rsid w:val="00561D90"/>
    <w:rsid w:val="007A74F5"/>
    <w:rsid w:val="00A8526C"/>
    <w:rsid w:val="00B7223D"/>
    <w:rsid w:val="00FD38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D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456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04567"/>
  </w:style>
  <w:style w:type="paragraph" w:styleId="Footer">
    <w:name w:val="footer"/>
    <w:basedOn w:val="Normal"/>
    <w:link w:val="FooterChar"/>
    <w:uiPriority w:val="99"/>
    <w:unhideWhenUsed/>
    <w:rsid w:val="005045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4567"/>
  </w:style>
  <w:style w:type="paragraph" w:styleId="BalloonText">
    <w:name w:val="Balloon Text"/>
    <w:basedOn w:val="Normal"/>
    <w:link w:val="BalloonTextChar"/>
    <w:uiPriority w:val="99"/>
    <w:semiHidden/>
    <w:unhideWhenUsed/>
    <w:rsid w:val="00504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567"/>
    <w:rPr>
      <w:rFonts w:ascii="Tahoma" w:hAnsi="Tahoma" w:cs="Tahoma"/>
      <w:sz w:val="16"/>
      <w:szCs w:val="16"/>
    </w:rPr>
  </w:style>
  <w:style w:type="paragraph" w:styleId="ListParagraph">
    <w:name w:val="List Paragraph"/>
    <w:basedOn w:val="Normal"/>
    <w:uiPriority w:val="34"/>
    <w:qFormat/>
    <w:rsid w:val="00561D9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Documenten%20Convoy\Productie\DLO-DO\DLO%20Invoeren\VPS%20POC\Uitwerkingen\Uitwerkingen%20opmaak%20convoy.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Uitwerkingen opmaak convoy</Template>
  <TotalTime>0</TotalTime>
  <Pages>4</Pages>
  <Words>1071</Words>
  <Characters>6106</Characters>
  <Application>Microsoft Office Word</Application>
  <DocSecurity>0</DocSecurity>
  <Lines>50</Lines>
  <Paragraphs>14</Paragraphs>
  <ScaleCrop>false</ScaleCrop>
  <Company>Springer-SBM</Company>
  <LinksUpToDate>false</LinksUpToDate>
  <CharactersWithSpaces>7163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2017-06-08T13:22:00Z</dcterms:created>
  <dcterms:modified xsi:type="dcterms:W3CDTF">2017-06-08T13:23:00Z</dcterms:modified>
</cp:coreProperties>
</file>