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18" w:rsidRDefault="00AA1B18" w:rsidP="00AA1B18">
      <w:pPr>
        <w:spacing w:after="0"/>
        <w:rPr>
          <w:rFonts w:ascii="Times New Roman" w:hAnsi="Times New Roman" w:cs="Times New Roman"/>
          <w:b/>
        </w:rPr>
      </w:pPr>
      <w:r>
        <w:rPr>
          <w:rFonts w:ascii="Times New Roman" w:hAnsi="Times New Roman" w:cs="Times New Roman"/>
          <w:b/>
        </w:rPr>
        <w:t>VPS Personeel, Organisatie  Communicatie</w:t>
      </w:r>
    </w:p>
    <w:p w:rsidR="00AA1B18" w:rsidRDefault="00AA1B18" w:rsidP="00AA1B18">
      <w:pPr>
        <w:spacing w:after="0"/>
        <w:rPr>
          <w:rFonts w:ascii="Times New Roman" w:hAnsi="Times New Roman" w:cs="Times New Roman"/>
          <w:b/>
        </w:rPr>
      </w:pPr>
      <w:r>
        <w:rPr>
          <w:rFonts w:ascii="Times New Roman" w:hAnsi="Times New Roman" w:cs="Times New Roman"/>
          <w:b/>
        </w:rPr>
        <w:t>Antwoorden opgaven</w:t>
      </w:r>
    </w:p>
    <w:p w:rsidR="00AF35F1" w:rsidRDefault="00AA1B18" w:rsidP="00AF35F1">
      <w:pPr>
        <w:spacing w:after="0"/>
        <w:rPr>
          <w:rFonts w:ascii="Times New Roman" w:hAnsi="Times New Roman" w:cs="Times New Roman"/>
          <w:b/>
        </w:rPr>
      </w:pPr>
      <w:r>
        <w:rPr>
          <w:rFonts w:ascii="Times New Roman" w:hAnsi="Times New Roman" w:cs="Times New Roman"/>
          <w:b/>
        </w:rPr>
        <w:t>Hoofdstuk 4</w:t>
      </w:r>
    </w:p>
    <w:p w:rsidR="00AF35F1" w:rsidRDefault="00AF35F1" w:rsidP="00AF35F1">
      <w:pPr>
        <w:spacing w:after="0"/>
        <w:rPr>
          <w:rFonts w:ascii="Times New Roman" w:hAnsi="Times New Roman" w:cs="Times New Roman"/>
          <w:b/>
        </w:rPr>
      </w:pPr>
      <w:bookmarkStart w:id="0" w:name="_GoBack"/>
      <w:bookmarkEnd w:id="0"/>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9B7E1B" w:rsidRDefault="002B2D41" w:rsidP="00BF5C1C">
      <w:pPr>
        <w:pStyle w:val="Lijstalinea"/>
        <w:numPr>
          <w:ilvl w:val="0"/>
          <w:numId w:val="14"/>
        </w:numPr>
        <w:spacing w:after="0"/>
        <w:rPr>
          <w:rFonts w:ascii="Times New Roman" w:hAnsi="Times New Roman" w:cs="Times New Roman"/>
        </w:rPr>
      </w:pPr>
      <w:r>
        <w:rPr>
          <w:rFonts w:ascii="Times New Roman" w:hAnsi="Times New Roman" w:cs="Times New Roman"/>
        </w:rPr>
        <w:t>Volgens het matchingprincipe worden kosten toegerekend aan de periode waarin de kosten daadwerkelijk zijn gemaakt.</w:t>
      </w:r>
    </w:p>
    <w:p w:rsidR="002B2D41" w:rsidRDefault="002B2D41" w:rsidP="002B2D41">
      <w:pPr>
        <w:spacing w:after="0"/>
        <w:rPr>
          <w:rFonts w:ascii="Times New Roman" w:hAnsi="Times New Roman" w:cs="Times New Roman"/>
        </w:rPr>
      </w:pPr>
    </w:p>
    <w:p w:rsidR="00472DF4" w:rsidRDefault="00472DF4" w:rsidP="002B2D41">
      <w:pPr>
        <w:pStyle w:val="Lijstalinea"/>
        <w:numPr>
          <w:ilvl w:val="0"/>
          <w:numId w:val="14"/>
        </w:numPr>
        <w:spacing w:after="0"/>
        <w:rPr>
          <w:rFonts w:ascii="Times New Roman" w:hAnsi="Times New Roman" w:cs="Times New Roman"/>
        </w:rPr>
      </w:pPr>
      <w:r>
        <w:rPr>
          <w:rFonts w:ascii="Times New Roman" w:hAnsi="Times New Roman" w:cs="Times New Roman"/>
        </w:rPr>
        <w:t>De waardevermindering van de machine gedurende vier jaar is € 21.000. De afschrijvingskosten worden verdeeld over de vier jaren, gebaseerd op de waardevermindering van ieder jaar. Als de waarde van een machine in het eerste jaar sterk daalt, wordt in het eerste jaar een hoger bedrag afgeschreven dan in de andere jaren.</w:t>
      </w:r>
    </w:p>
    <w:p w:rsidR="00472DF4" w:rsidRPr="00472DF4" w:rsidRDefault="00472DF4" w:rsidP="00472DF4">
      <w:pPr>
        <w:pStyle w:val="Lijstalinea"/>
        <w:rPr>
          <w:rFonts w:ascii="Times New Roman" w:hAnsi="Times New Roman" w:cs="Times New Roman"/>
        </w:rPr>
      </w:pPr>
    </w:p>
    <w:p w:rsidR="009F6262" w:rsidRDefault="009F6262" w:rsidP="002B2D41">
      <w:pPr>
        <w:pStyle w:val="Lijstalinea"/>
        <w:numPr>
          <w:ilvl w:val="0"/>
          <w:numId w:val="14"/>
        </w:numPr>
        <w:spacing w:after="0"/>
        <w:rPr>
          <w:rFonts w:ascii="Times New Roman" w:hAnsi="Times New Roman" w:cs="Times New Roman"/>
        </w:rPr>
      </w:pPr>
      <w:r>
        <w:rPr>
          <w:rFonts w:ascii="Times New Roman" w:hAnsi="Times New Roman" w:cs="Times New Roman"/>
        </w:rPr>
        <w:t>Het voorzichtigheidsbeginsel houdt in dat een onderneming een verlies altijd onmiddellijk neemt en niet uitstelt naar een volgende periode.</w:t>
      </w:r>
    </w:p>
    <w:p w:rsidR="009F6262" w:rsidRPr="009F6262" w:rsidRDefault="009F6262" w:rsidP="009F6262">
      <w:pPr>
        <w:pStyle w:val="Lijstalinea"/>
        <w:rPr>
          <w:rFonts w:ascii="Times New Roman" w:hAnsi="Times New Roman" w:cs="Times New Roman"/>
        </w:rPr>
      </w:pPr>
    </w:p>
    <w:p w:rsidR="00964560" w:rsidRDefault="00472DF4" w:rsidP="00964560">
      <w:pPr>
        <w:pStyle w:val="Lijstalinea"/>
        <w:numPr>
          <w:ilvl w:val="0"/>
          <w:numId w:val="14"/>
        </w:numPr>
        <w:spacing w:after="0"/>
        <w:rPr>
          <w:rFonts w:ascii="Times New Roman" w:hAnsi="Times New Roman" w:cs="Times New Roman"/>
        </w:rPr>
      </w:pPr>
      <w:r w:rsidRPr="00D97417">
        <w:rPr>
          <w:rFonts w:ascii="Times New Roman" w:hAnsi="Times New Roman" w:cs="Times New Roman"/>
        </w:rPr>
        <w:t xml:space="preserve"> </w:t>
      </w:r>
      <w:r w:rsidR="00D97417" w:rsidRPr="00D97417">
        <w:rPr>
          <w:rFonts w:ascii="Times New Roman" w:hAnsi="Times New Roman" w:cs="Times New Roman"/>
        </w:rPr>
        <w:t>Op grond van het realisatiebeginsel mag de onderneming bij het opstellen van de jaarrekening uitsluitend de opbrengsten verantwoorden die op balansdatum daadwerkelijk zijn gerealiseerd. Dat betekent dat de goederen of diensten in het betreffende jaar verkocht én geleverd moeten zijn. Het moment waarop de klant heeft betaald, is niet van belang.</w:t>
      </w:r>
      <w:r w:rsidR="00D97417">
        <w:rPr>
          <w:rFonts w:ascii="Times New Roman" w:hAnsi="Times New Roman" w:cs="Times New Roman"/>
        </w:rPr>
        <w:t xml:space="preserve"> Aangezien de goederen op 23 april zijn afgeleverd, mag de opbrengst op dat moment als gerealiseerd worden beschouwd.</w:t>
      </w:r>
    </w:p>
    <w:p w:rsidR="00D97417" w:rsidRPr="00D97417" w:rsidRDefault="00D97417" w:rsidP="00EE5EB7">
      <w:pPr>
        <w:pStyle w:val="Lijstalinea"/>
        <w:spacing w:after="0"/>
        <w:rPr>
          <w:rFonts w:ascii="Times New Roman" w:hAnsi="Times New Roman" w:cs="Times New Roman"/>
        </w:rPr>
      </w:pPr>
    </w:p>
    <w:p w:rsidR="00EE5EB7" w:rsidRDefault="00EE5EB7" w:rsidP="00EE5EB7">
      <w:pPr>
        <w:pStyle w:val="Lijstalinea"/>
        <w:numPr>
          <w:ilvl w:val="0"/>
          <w:numId w:val="14"/>
        </w:numPr>
        <w:spacing w:after="0"/>
        <w:rPr>
          <w:rFonts w:ascii="Times New Roman" w:hAnsi="Times New Roman" w:cs="Times New Roman"/>
        </w:rPr>
      </w:pPr>
      <w:r>
        <w:rPr>
          <w:rFonts w:ascii="Times New Roman" w:hAnsi="Times New Roman" w:cs="Times New Roman"/>
        </w:rPr>
        <w:t xml:space="preserve">Het </w:t>
      </w:r>
      <w:proofErr w:type="spellStart"/>
      <w:r>
        <w:rPr>
          <w:rFonts w:ascii="Times New Roman" w:hAnsi="Times New Roman" w:cs="Times New Roman"/>
        </w:rPr>
        <w:t>going</w:t>
      </w:r>
      <w:proofErr w:type="spellEnd"/>
      <w:r>
        <w:rPr>
          <w:rFonts w:ascii="Times New Roman" w:hAnsi="Times New Roman" w:cs="Times New Roman"/>
        </w:rPr>
        <w:t xml:space="preserve"> concern-principe, ook wel het continuïteitsbeginsel genoemd, </w:t>
      </w:r>
      <w:r w:rsidRPr="00EE5EB7">
        <w:rPr>
          <w:rFonts w:ascii="Times New Roman" w:hAnsi="Times New Roman" w:cs="Times New Roman"/>
        </w:rPr>
        <w:t>houdt in dat een onderneming er bij het opstellen van de jaarrekening vanuit moet gaan dat de activiteiten in de toekomst worden voortgezet.</w:t>
      </w:r>
    </w:p>
    <w:p w:rsidR="00EE5EB7" w:rsidRPr="00EE5EB7" w:rsidRDefault="00EE5EB7" w:rsidP="00EE5EB7">
      <w:pPr>
        <w:pStyle w:val="Lijstalinea"/>
        <w:rPr>
          <w:rFonts w:ascii="Times New Roman" w:hAnsi="Times New Roman" w:cs="Times New Roman"/>
        </w:rPr>
      </w:pPr>
    </w:p>
    <w:p w:rsidR="00D97417" w:rsidRDefault="00836421" w:rsidP="00EE5EB7">
      <w:pPr>
        <w:pStyle w:val="Lijstalinea"/>
        <w:numPr>
          <w:ilvl w:val="0"/>
          <w:numId w:val="14"/>
        </w:numPr>
        <w:spacing w:after="0"/>
        <w:rPr>
          <w:rFonts w:ascii="Times New Roman" w:hAnsi="Times New Roman" w:cs="Times New Roman"/>
        </w:rPr>
      </w:pPr>
      <w:r>
        <w:rPr>
          <w:rFonts w:ascii="Times New Roman" w:hAnsi="Times New Roman" w:cs="Times New Roman"/>
        </w:rPr>
        <w:t xml:space="preserve">Als </w:t>
      </w:r>
      <w:r w:rsidR="00EE5EB7" w:rsidRPr="00EE5EB7">
        <w:rPr>
          <w:rFonts w:ascii="Times New Roman" w:hAnsi="Times New Roman" w:cs="Times New Roman"/>
        </w:rPr>
        <w:t xml:space="preserve">vrijwel zeker </w:t>
      </w:r>
      <w:r>
        <w:rPr>
          <w:rFonts w:ascii="Times New Roman" w:hAnsi="Times New Roman" w:cs="Times New Roman"/>
        </w:rPr>
        <w:t xml:space="preserve">is </w:t>
      </w:r>
      <w:r w:rsidR="00EE5EB7" w:rsidRPr="00EE5EB7">
        <w:rPr>
          <w:rFonts w:ascii="Times New Roman" w:hAnsi="Times New Roman" w:cs="Times New Roman"/>
        </w:rPr>
        <w:t xml:space="preserve">dat </w:t>
      </w:r>
      <w:r>
        <w:rPr>
          <w:rFonts w:ascii="Times New Roman" w:hAnsi="Times New Roman" w:cs="Times New Roman"/>
        </w:rPr>
        <w:t xml:space="preserve">de onderneming haar </w:t>
      </w:r>
      <w:r w:rsidR="00EE5EB7" w:rsidRPr="00EE5EB7">
        <w:rPr>
          <w:rFonts w:ascii="Times New Roman" w:hAnsi="Times New Roman" w:cs="Times New Roman"/>
        </w:rPr>
        <w:t>activiteiten zal staken, dan moet men bij het waarderen van de activa en passiva uitgaan van de waardering op liquidatiebasis. Deze waarde ligt veel lager, aangezien activa van een ‘lopende onderneming’ veel meer opbrengen.</w:t>
      </w:r>
    </w:p>
    <w:p w:rsidR="00836421" w:rsidRPr="00836421" w:rsidRDefault="00836421" w:rsidP="00836421">
      <w:pPr>
        <w:pStyle w:val="Lijstalinea"/>
        <w:spacing w:after="0"/>
        <w:rPr>
          <w:rFonts w:ascii="Times New Roman" w:hAnsi="Times New Roman" w:cs="Times New Roman"/>
        </w:rPr>
      </w:pPr>
    </w:p>
    <w:p w:rsidR="00836421" w:rsidRDefault="00836421" w:rsidP="00836421">
      <w:pPr>
        <w:spacing w:after="0"/>
        <w:rPr>
          <w:rFonts w:ascii="Times New Roman" w:hAnsi="Times New Roman" w:cs="Times New Roman"/>
        </w:rPr>
      </w:pPr>
      <w:r>
        <w:rPr>
          <w:rFonts w:ascii="Times New Roman" w:hAnsi="Times New Roman" w:cs="Times New Roman"/>
          <w:b/>
        </w:rPr>
        <w:t>Opgave 2</w:t>
      </w:r>
    </w:p>
    <w:p w:rsidR="00836421" w:rsidRDefault="00836421" w:rsidP="00836421">
      <w:pPr>
        <w:spacing w:after="0"/>
        <w:rPr>
          <w:rFonts w:ascii="Times New Roman" w:hAnsi="Times New Roman" w:cs="Times New Roman"/>
        </w:rPr>
      </w:pPr>
    </w:p>
    <w:p w:rsidR="00745776" w:rsidRDefault="001F0BCF" w:rsidP="00745776">
      <w:pPr>
        <w:pStyle w:val="Lijstalinea"/>
        <w:numPr>
          <w:ilvl w:val="0"/>
          <w:numId w:val="16"/>
        </w:numPr>
        <w:spacing w:after="0"/>
        <w:rPr>
          <w:rFonts w:ascii="Times New Roman" w:hAnsi="Times New Roman" w:cs="Times New Roman"/>
        </w:rPr>
      </w:pPr>
      <w:r w:rsidRPr="001F0BCF">
        <w:rPr>
          <w:rFonts w:ascii="Times New Roman" w:hAnsi="Times New Roman" w:cs="Times New Roman"/>
        </w:rPr>
        <w:t xml:space="preserve">Het doel van externe verslaggeving is om verantwoording </w:t>
      </w:r>
      <w:r>
        <w:rPr>
          <w:rFonts w:ascii="Times New Roman" w:hAnsi="Times New Roman" w:cs="Times New Roman"/>
        </w:rPr>
        <w:t xml:space="preserve">af te leggen </w:t>
      </w:r>
      <w:r w:rsidRPr="001F0BCF">
        <w:rPr>
          <w:rFonts w:ascii="Times New Roman" w:hAnsi="Times New Roman" w:cs="Times New Roman"/>
        </w:rPr>
        <w:t xml:space="preserve">over de bedrijfsresultaten en het gevoerde beleid aan </w:t>
      </w:r>
      <w:r>
        <w:rPr>
          <w:rFonts w:ascii="Times New Roman" w:hAnsi="Times New Roman" w:cs="Times New Roman"/>
        </w:rPr>
        <w:t xml:space="preserve">externe </w:t>
      </w:r>
      <w:r w:rsidRPr="001F0BCF">
        <w:rPr>
          <w:rFonts w:ascii="Times New Roman" w:hAnsi="Times New Roman" w:cs="Times New Roman"/>
        </w:rPr>
        <w:t>belang</w:t>
      </w:r>
      <w:r w:rsidR="00403C66">
        <w:rPr>
          <w:rFonts w:ascii="Times New Roman" w:hAnsi="Times New Roman" w:cs="Times New Roman"/>
        </w:rPr>
        <w:t>hebbenden</w:t>
      </w:r>
      <w:r w:rsidRPr="001F0BCF">
        <w:rPr>
          <w:rFonts w:ascii="Times New Roman" w:hAnsi="Times New Roman" w:cs="Times New Roman"/>
        </w:rPr>
        <w:t xml:space="preserve">. Hierbij moet de verschafte informatie zodanig zijn opgesteld dat de gebruikers </w:t>
      </w:r>
      <w:r w:rsidR="00704847">
        <w:rPr>
          <w:rFonts w:ascii="Times New Roman" w:hAnsi="Times New Roman" w:cs="Times New Roman"/>
        </w:rPr>
        <w:t xml:space="preserve">van deze informatie </w:t>
      </w:r>
      <w:r w:rsidRPr="001F0BCF">
        <w:rPr>
          <w:rFonts w:ascii="Times New Roman" w:hAnsi="Times New Roman" w:cs="Times New Roman"/>
        </w:rPr>
        <w:t>een goed oordeel kunnen vellen over het reilen en zeilen van de onderneming.</w:t>
      </w:r>
    </w:p>
    <w:p w:rsidR="00704847" w:rsidRDefault="00704847" w:rsidP="00704847">
      <w:pPr>
        <w:spacing w:after="0"/>
        <w:ind w:left="360"/>
        <w:rPr>
          <w:rFonts w:ascii="Times New Roman" w:hAnsi="Times New Roman" w:cs="Times New Roman"/>
        </w:rPr>
      </w:pPr>
    </w:p>
    <w:p w:rsidR="00704847" w:rsidRDefault="00686F0A" w:rsidP="00704847">
      <w:pPr>
        <w:pStyle w:val="Lijstalinea"/>
        <w:numPr>
          <w:ilvl w:val="0"/>
          <w:numId w:val="16"/>
        </w:numPr>
        <w:spacing w:after="0"/>
        <w:rPr>
          <w:rFonts w:ascii="Times New Roman" w:hAnsi="Times New Roman" w:cs="Times New Roman"/>
        </w:rPr>
      </w:pPr>
      <w:r>
        <w:rPr>
          <w:rFonts w:ascii="Times New Roman" w:hAnsi="Times New Roman" w:cs="Times New Roman"/>
        </w:rPr>
        <w:t>Voorbeelden van belanghebbenden bij de externe verslaggeving van een onderneming:</w:t>
      </w:r>
    </w:p>
    <w:p w:rsidR="00686F0A" w:rsidRDefault="005367ED" w:rsidP="00686F0A">
      <w:pPr>
        <w:pStyle w:val="Lijstalinea"/>
        <w:numPr>
          <w:ilvl w:val="0"/>
          <w:numId w:val="17"/>
        </w:numPr>
        <w:spacing w:after="0"/>
        <w:rPr>
          <w:rFonts w:ascii="Times New Roman" w:hAnsi="Times New Roman" w:cs="Times New Roman"/>
        </w:rPr>
      </w:pPr>
      <w:r>
        <w:rPr>
          <w:rFonts w:ascii="Times New Roman" w:hAnsi="Times New Roman" w:cs="Times New Roman"/>
        </w:rPr>
        <w:t>aandeelhouders;</w:t>
      </w:r>
    </w:p>
    <w:p w:rsidR="005367ED" w:rsidRDefault="005367ED" w:rsidP="00686F0A">
      <w:pPr>
        <w:pStyle w:val="Lijstalinea"/>
        <w:numPr>
          <w:ilvl w:val="0"/>
          <w:numId w:val="17"/>
        </w:numPr>
        <w:spacing w:after="0"/>
        <w:rPr>
          <w:rFonts w:ascii="Times New Roman" w:hAnsi="Times New Roman" w:cs="Times New Roman"/>
        </w:rPr>
      </w:pPr>
      <w:r>
        <w:rPr>
          <w:rFonts w:ascii="Times New Roman" w:hAnsi="Times New Roman" w:cs="Times New Roman"/>
        </w:rPr>
        <w:t>banken en andere kredietinstellingen;</w:t>
      </w:r>
    </w:p>
    <w:p w:rsidR="005367ED" w:rsidRDefault="005367ED" w:rsidP="00686F0A">
      <w:pPr>
        <w:pStyle w:val="Lijstalinea"/>
        <w:numPr>
          <w:ilvl w:val="0"/>
          <w:numId w:val="17"/>
        </w:numPr>
        <w:spacing w:after="0"/>
        <w:rPr>
          <w:rFonts w:ascii="Times New Roman" w:hAnsi="Times New Roman" w:cs="Times New Roman"/>
        </w:rPr>
      </w:pPr>
      <w:r>
        <w:rPr>
          <w:rFonts w:ascii="Times New Roman" w:hAnsi="Times New Roman" w:cs="Times New Roman"/>
        </w:rPr>
        <w:t>leveranciers;</w:t>
      </w:r>
    </w:p>
    <w:p w:rsidR="005367ED" w:rsidRDefault="005367ED" w:rsidP="00686F0A">
      <w:pPr>
        <w:pStyle w:val="Lijstalinea"/>
        <w:numPr>
          <w:ilvl w:val="0"/>
          <w:numId w:val="17"/>
        </w:numPr>
        <w:spacing w:after="0"/>
        <w:rPr>
          <w:rFonts w:ascii="Times New Roman" w:hAnsi="Times New Roman" w:cs="Times New Roman"/>
        </w:rPr>
      </w:pPr>
      <w:r>
        <w:rPr>
          <w:rFonts w:ascii="Times New Roman" w:hAnsi="Times New Roman" w:cs="Times New Roman"/>
        </w:rPr>
        <w:t>afnemers;</w:t>
      </w:r>
    </w:p>
    <w:p w:rsidR="005367ED" w:rsidRDefault="005367ED" w:rsidP="005367ED">
      <w:pPr>
        <w:pStyle w:val="Lijstalinea"/>
        <w:numPr>
          <w:ilvl w:val="0"/>
          <w:numId w:val="17"/>
        </w:numPr>
        <w:spacing w:after="0"/>
        <w:rPr>
          <w:rFonts w:ascii="Times New Roman" w:hAnsi="Times New Roman" w:cs="Times New Roman"/>
        </w:rPr>
      </w:pPr>
      <w:r>
        <w:rPr>
          <w:rFonts w:ascii="Times New Roman" w:hAnsi="Times New Roman" w:cs="Times New Roman"/>
        </w:rPr>
        <w:t>de overheid.</w:t>
      </w:r>
    </w:p>
    <w:p w:rsidR="005367ED" w:rsidRDefault="005367ED" w:rsidP="005367ED">
      <w:pPr>
        <w:spacing w:after="0"/>
        <w:rPr>
          <w:rFonts w:ascii="Times New Roman" w:hAnsi="Times New Roman" w:cs="Times New Roman"/>
        </w:rPr>
      </w:pPr>
    </w:p>
    <w:p w:rsidR="005367ED" w:rsidRDefault="00326B6E" w:rsidP="005367ED">
      <w:pPr>
        <w:pStyle w:val="Lijstalinea"/>
        <w:numPr>
          <w:ilvl w:val="0"/>
          <w:numId w:val="16"/>
        </w:numPr>
        <w:spacing w:after="0"/>
        <w:rPr>
          <w:rFonts w:ascii="Times New Roman" w:hAnsi="Times New Roman" w:cs="Times New Roman"/>
        </w:rPr>
      </w:pPr>
      <w:r>
        <w:rPr>
          <w:rFonts w:ascii="Times New Roman" w:hAnsi="Times New Roman" w:cs="Times New Roman"/>
        </w:rPr>
        <w:t>Bij het opstellen van de jaarrekening moeten de volgende vijf beginselen in acht worden genomen:</w:t>
      </w:r>
    </w:p>
    <w:p w:rsidR="00326B6E" w:rsidRDefault="005F3715" w:rsidP="00326B6E">
      <w:pPr>
        <w:pStyle w:val="Lijstalinea"/>
        <w:numPr>
          <w:ilvl w:val="0"/>
          <w:numId w:val="17"/>
        </w:numPr>
        <w:spacing w:after="0"/>
        <w:rPr>
          <w:rFonts w:ascii="Times New Roman" w:hAnsi="Times New Roman" w:cs="Times New Roman"/>
        </w:rPr>
      </w:pPr>
      <w:r>
        <w:rPr>
          <w:rFonts w:ascii="Times New Roman" w:hAnsi="Times New Roman" w:cs="Times New Roman"/>
        </w:rPr>
        <w:lastRenderedPageBreak/>
        <w:t>realisatiebeginsel;</w:t>
      </w:r>
    </w:p>
    <w:p w:rsidR="005F3715" w:rsidRDefault="003B48B0" w:rsidP="00326B6E">
      <w:pPr>
        <w:pStyle w:val="Lijstalinea"/>
        <w:numPr>
          <w:ilvl w:val="0"/>
          <w:numId w:val="17"/>
        </w:numPr>
        <w:spacing w:after="0"/>
        <w:rPr>
          <w:rFonts w:ascii="Times New Roman" w:hAnsi="Times New Roman" w:cs="Times New Roman"/>
        </w:rPr>
      </w:pPr>
      <w:r>
        <w:rPr>
          <w:rFonts w:ascii="Times New Roman" w:hAnsi="Times New Roman" w:cs="Times New Roman"/>
        </w:rPr>
        <w:t>matchingbeginsel;</w:t>
      </w:r>
    </w:p>
    <w:p w:rsidR="003B48B0" w:rsidRPr="00914539" w:rsidRDefault="003B48B0" w:rsidP="00326B6E">
      <w:pPr>
        <w:pStyle w:val="Lijstalinea"/>
        <w:numPr>
          <w:ilvl w:val="0"/>
          <w:numId w:val="17"/>
        </w:numPr>
        <w:spacing w:after="0"/>
        <w:rPr>
          <w:rFonts w:ascii="Times New Roman" w:hAnsi="Times New Roman" w:cs="Times New Roman"/>
          <w:lang w:val="en-US"/>
        </w:rPr>
      </w:pPr>
      <w:proofErr w:type="spellStart"/>
      <w:r w:rsidRPr="00914539">
        <w:rPr>
          <w:rFonts w:ascii="Times New Roman" w:hAnsi="Times New Roman" w:cs="Times New Roman"/>
          <w:lang w:val="en-US"/>
        </w:rPr>
        <w:t>continuïteitsbeginsel</w:t>
      </w:r>
      <w:proofErr w:type="spellEnd"/>
      <w:r w:rsidRPr="00914539">
        <w:rPr>
          <w:rFonts w:ascii="Times New Roman" w:hAnsi="Times New Roman" w:cs="Times New Roman"/>
          <w:lang w:val="en-US"/>
        </w:rPr>
        <w:t xml:space="preserve"> of going concern-</w:t>
      </w:r>
      <w:proofErr w:type="spellStart"/>
      <w:r w:rsidRPr="00914539">
        <w:rPr>
          <w:rFonts w:ascii="Times New Roman" w:hAnsi="Times New Roman" w:cs="Times New Roman"/>
          <w:lang w:val="en-US"/>
        </w:rPr>
        <w:t>beginsel</w:t>
      </w:r>
      <w:proofErr w:type="spellEnd"/>
      <w:r w:rsidRPr="00914539">
        <w:rPr>
          <w:rFonts w:ascii="Times New Roman" w:hAnsi="Times New Roman" w:cs="Times New Roman"/>
          <w:lang w:val="en-US"/>
        </w:rPr>
        <w:t>;</w:t>
      </w:r>
    </w:p>
    <w:p w:rsidR="003B48B0" w:rsidRDefault="00C244C2" w:rsidP="00326B6E">
      <w:pPr>
        <w:pStyle w:val="Lijstalinea"/>
        <w:numPr>
          <w:ilvl w:val="0"/>
          <w:numId w:val="17"/>
        </w:numPr>
        <w:spacing w:after="0"/>
        <w:rPr>
          <w:rFonts w:ascii="Times New Roman" w:hAnsi="Times New Roman" w:cs="Times New Roman"/>
        </w:rPr>
      </w:pPr>
      <w:r>
        <w:rPr>
          <w:rFonts w:ascii="Times New Roman" w:hAnsi="Times New Roman" w:cs="Times New Roman"/>
        </w:rPr>
        <w:t>bestendigheidsbeginsel;</w:t>
      </w:r>
    </w:p>
    <w:p w:rsidR="00C244C2" w:rsidRDefault="00C244C2" w:rsidP="00326B6E">
      <w:pPr>
        <w:pStyle w:val="Lijstalinea"/>
        <w:numPr>
          <w:ilvl w:val="0"/>
          <w:numId w:val="17"/>
        </w:numPr>
        <w:spacing w:after="0"/>
        <w:rPr>
          <w:rFonts w:ascii="Times New Roman" w:hAnsi="Times New Roman" w:cs="Times New Roman"/>
        </w:rPr>
      </w:pPr>
      <w:r>
        <w:rPr>
          <w:rFonts w:ascii="Times New Roman" w:hAnsi="Times New Roman" w:cs="Times New Roman"/>
        </w:rPr>
        <w:t>voorzichtigheidsbeginsel.</w:t>
      </w:r>
    </w:p>
    <w:p w:rsidR="00C244C2" w:rsidRDefault="00C244C2" w:rsidP="00C244C2">
      <w:pPr>
        <w:spacing w:after="0"/>
        <w:rPr>
          <w:rFonts w:ascii="Times New Roman" w:hAnsi="Times New Roman" w:cs="Times New Roman"/>
        </w:rPr>
      </w:pPr>
    </w:p>
    <w:p w:rsidR="001E6E1E" w:rsidRPr="001E6E1E" w:rsidRDefault="00D2794B" w:rsidP="001E6E1E">
      <w:pPr>
        <w:pStyle w:val="Lijstalinea"/>
        <w:numPr>
          <w:ilvl w:val="0"/>
          <w:numId w:val="16"/>
        </w:numPr>
        <w:spacing w:after="0"/>
        <w:rPr>
          <w:rFonts w:ascii="Times New Roman" w:hAnsi="Times New Roman" w:cs="Times New Roman"/>
        </w:rPr>
      </w:pPr>
      <w:r w:rsidRPr="00D2794B">
        <w:rPr>
          <w:rFonts w:ascii="Times New Roman" w:hAnsi="Times New Roman" w:cs="Times New Roman"/>
        </w:rPr>
        <w:t>Een geconsolideerde jaarrekening is de jaarrekening van een groep met elkaar verbonden ondernemingen</w:t>
      </w:r>
      <w:r>
        <w:rPr>
          <w:rFonts w:ascii="Times New Roman" w:hAnsi="Times New Roman" w:cs="Times New Roman"/>
        </w:rPr>
        <w:t xml:space="preserve">. </w:t>
      </w:r>
      <w:r w:rsidRPr="00D2794B">
        <w:rPr>
          <w:rFonts w:ascii="Times New Roman" w:hAnsi="Times New Roman" w:cs="Times New Roman"/>
        </w:rPr>
        <w:t>De geconsolideerde jaarrekening verschaft dan een beeld van de financiële situatie van het gehele concern.</w:t>
      </w:r>
    </w:p>
    <w:p w:rsidR="00686F0A" w:rsidRDefault="00686F0A" w:rsidP="00686F0A">
      <w:pPr>
        <w:spacing w:after="0"/>
        <w:rPr>
          <w:rFonts w:ascii="Times New Roman" w:hAnsi="Times New Roman" w:cs="Times New Roman"/>
        </w:rPr>
      </w:pPr>
    </w:p>
    <w:p w:rsidR="00D2794B" w:rsidRDefault="006A0310" w:rsidP="00D2794B">
      <w:pPr>
        <w:pStyle w:val="Lijstalinea"/>
        <w:numPr>
          <w:ilvl w:val="0"/>
          <w:numId w:val="16"/>
        </w:numPr>
        <w:spacing w:after="0"/>
        <w:rPr>
          <w:rFonts w:ascii="Times New Roman" w:hAnsi="Times New Roman" w:cs="Times New Roman"/>
        </w:rPr>
      </w:pPr>
      <w:r>
        <w:rPr>
          <w:rFonts w:ascii="Times New Roman" w:hAnsi="Times New Roman" w:cs="Times New Roman"/>
        </w:rPr>
        <w:t xml:space="preserve">De winst-en-verliesrekening </w:t>
      </w:r>
      <w:r w:rsidR="00E9613F">
        <w:rPr>
          <w:rFonts w:ascii="Times New Roman" w:hAnsi="Times New Roman" w:cs="Times New Roman"/>
        </w:rPr>
        <w:t xml:space="preserve">verschaft inzicht in het resultaat van de onderneming gedurende een bepaalde periode. </w:t>
      </w:r>
      <w:r w:rsidR="001F5E2E">
        <w:rPr>
          <w:rFonts w:ascii="Times New Roman" w:hAnsi="Times New Roman" w:cs="Times New Roman"/>
        </w:rPr>
        <w:t>Hierop staan alle kosten en opbrengsten verantwoord; het saldo van kosten en opbrengsten vormt het bedrijfsresultaat.</w:t>
      </w:r>
    </w:p>
    <w:p w:rsidR="001F5E2E" w:rsidRPr="001F5E2E" w:rsidRDefault="001F5E2E" w:rsidP="001F5E2E">
      <w:pPr>
        <w:pStyle w:val="Lijstalinea"/>
        <w:rPr>
          <w:rFonts w:ascii="Times New Roman" w:hAnsi="Times New Roman" w:cs="Times New Roman"/>
        </w:rPr>
      </w:pPr>
    </w:p>
    <w:p w:rsidR="001F5E2E" w:rsidRDefault="00DD4634" w:rsidP="00D2794B">
      <w:pPr>
        <w:pStyle w:val="Lijstalinea"/>
        <w:numPr>
          <w:ilvl w:val="0"/>
          <w:numId w:val="16"/>
        </w:numPr>
        <w:spacing w:after="0"/>
        <w:rPr>
          <w:rFonts w:ascii="Times New Roman" w:hAnsi="Times New Roman" w:cs="Times New Roman"/>
        </w:rPr>
      </w:pPr>
      <w:r>
        <w:rPr>
          <w:rFonts w:ascii="Times New Roman" w:hAnsi="Times New Roman" w:cs="Times New Roman"/>
        </w:rPr>
        <w:t>Bij kosten die geen uitgaven zijn, maakt een onderneming wel degelijk kosten, maar leidt dit niet tot een vermindering van de liquide middelen (uitgave).</w:t>
      </w:r>
    </w:p>
    <w:p w:rsidR="00DD4634" w:rsidRPr="00DD4634" w:rsidRDefault="00DD4634" w:rsidP="00DD4634">
      <w:pPr>
        <w:pStyle w:val="Lijstalinea"/>
        <w:rPr>
          <w:rFonts w:ascii="Times New Roman" w:hAnsi="Times New Roman" w:cs="Times New Roman"/>
        </w:rPr>
      </w:pPr>
    </w:p>
    <w:p w:rsidR="00DD4634" w:rsidRDefault="00651586" w:rsidP="00D2794B">
      <w:pPr>
        <w:pStyle w:val="Lijstalinea"/>
        <w:numPr>
          <w:ilvl w:val="0"/>
          <w:numId w:val="16"/>
        </w:numPr>
        <w:spacing w:after="0"/>
        <w:rPr>
          <w:rFonts w:ascii="Times New Roman" w:hAnsi="Times New Roman" w:cs="Times New Roman"/>
        </w:rPr>
      </w:pPr>
      <w:r>
        <w:rPr>
          <w:rFonts w:ascii="Times New Roman" w:hAnsi="Times New Roman" w:cs="Times New Roman"/>
        </w:rPr>
        <w:t>Overeenkomst tussen afschrijvingen en voorzieningen: in beide gevallen is er sprake van kosten en geen uitgave op korte termijn.</w:t>
      </w:r>
    </w:p>
    <w:p w:rsidR="00651586" w:rsidRDefault="00651586" w:rsidP="00651586">
      <w:pPr>
        <w:pStyle w:val="Lijstalinea"/>
        <w:spacing w:after="0"/>
        <w:rPr>
          <w:rFonts w:ascii="Times New Roman" w:hAnsi="Times New Roman" w:cs="Times New Roman"/>
        </w:rPr>
      </w:pPr>
      <w:r>
        <w:rPr>
          <w:rFonts w:ascii="Times New Roman" w:hAnsi="Times New Roman" w:cs="Times New Roman"/>
        </w:rPr>
        <w:t>Verschil: bij afschrijving vindt eerst de investering plaats en maakt de onderneming pas daarna (</w:t>
      </w:r>
      <w:proofErr w:type="spellStart"/>
      <w:r>
        <w:rPr>
          <w:rFonts w:ascii="Times New Roman" w:hAnsi="Times New Roman" w:cs="Times New Roman"/>
        </w:rPr>
        <w:t>afschrijvings</w:t>
      </w:r>
      <w:proofErr w:type="spellEnd"/>
      <w:r>
        <w:rPr>
          <w:rFonts w:ascii="Times New Roman" w:hAnsi="Times New Roman" w:cs="Times New Roman"/>
        </w:rPr>
        <w:t>)kosten; bij een voorziening worden eerst de kosten gemaakt (door de vorming van de voorziening) en vindt pas op een later moment de uitgave plaats (die ten laste van de voorziening wordt gedaan).</w:t>
      </w:r>
    </w:p>
    <w:p w:rsidR="00651586" w:rsidRDefault="00651586" w:rsidP="00651586">
      <w:pPr>
        <w:spacing w:after="0"/>
        <w:rPr>
          <w:rFonts w:ascii="Times New Roman" w:hAnsi="Times New Roman" w:cs="Times New Roman"/>
        </w:rPr>
      </w:pPr>
    </w:p>
    <w:p w:rsidR="00651586" w:rsidRDefault="00457FA0" w:rsidP="00651586">
      <w:pPr>
        <w:pStyle w:val="Lijstalinea"/>
        <w:numPr>
          <w:ilvl w:val="0"/>
          <w:numId w:val="16"/>
        </w:numPr>
        <w:spacing w:after="0"/>
        <w:rPr>
          <w:rFonts w:ascii="Times New Roman" w:hAnsi="Times New Roman" w:cs="Times New Roman"/>
        </w:rPr>
      </w:pPr>
      <w:r>
        <w:rPr>
          <w:rFonts w:ascii="Times New Roman" w:hAnsi="Times New Roman" w:cs="Times New Roman"/>
        </w:rPr>
        <w:t>Verschillen tussen voorzieningen en reserves:</w:t>
      </w:r>
    </w:p>
    <w:p w:rsidR="00457FA0" w:rsidRDefault="00457FA0" w:rsidP="00457FA0">
      <w:pPr>
        <w:pStyle w:val="Lijstalinea"/>
        <w:numPr>
          <w:ilvl w:val="0"/>
          <w:numId w:val="17"/>
        </w:numPr>
        <w:spacing w:after="0"/>
        <w:rPr>
          <w:rFonts w:ascii="Times New Roman" w:hAnsi="Times New Roman" w:cs="Times New Roman"/>
        </w:rPr>
      </w:pPr>
      <w:r>
        <w:rPr>
          <w:rFonts w:ascii="Times New Roman" w:hAnsi="Times New Roman" w:cs="Times New Roman"/>
        </w:rPr>
        <w:t>Een voorziening behoort tot het vreemd vermogen; een reserve behoort tot het eigen vermogen.</w:t>
      </w:r>
    </w:p>
    <w:p w:rsidR="00457FA0" w:rsidRPr="00651586" w:rsidRDefault="00457FA0" w:rsidP="00457FA0">
      <w:pPr>
        <w:pStyle w:val="Lijstalinea"/>
        <w:numPr>
          <w:ilvl w:val="0"/>
          <w:numId w:val="17"/>
        </w:numPr>
        <w:spacing w:after="0"/>
        <w:rPr>
          <w:rFonts w:ascii="Times New Roman" w:hAnsi="Times New Roman" w:cs="Times New Roman"/>
        </w:rPr>
      </w:pPr>
      <w:r>
        <w:rPr>
          <w:rFonts w:ascii="Times New Roman" w:hAnsi="Times New Roman" w:cs="Times New Roman"/>
        </w:rPr>
        <w:t>Uit het ontstaan van een voorziening vloeit een verplichting voort. Bij een reserve is dit niet het geval.</w:t>
      </w:r>
    </w:p>
    <w:p w:rsidR="00651586" w:rsidRDefault="00651586" w:rsidP="00457FA0">
      <w:pPr>
        <w:spacing w:after="0"/>
        <w:rPr>
          <w:rFonts w:ascii="Times New Roman" w:hAnsi="Times New Roman" w:cs="Times New Roman"/>
        </w:rPr>
      </w:pPr>
    </w:p>
    <w:p w:rsidR="00457FA0" w:rsidRDefault="006A15B1" w:rsidP="00457FA0">
      <w:pPr>
        <w:pStyle w:val="Lijstalinea"/>
        <w:numPr>
          <w:ilvl w:val="0"/>
          <w:numId w:val="16"/>
        </w:numPr>
        <w:spacing w:after="0"/>
        <w:rPr>
          <w:rFonts w:ascii="Times New Roman" w:hAnsi="Times New Roman" w:cs="Times New Roman"/>
        </w:rPr>
      </w:pPr>
      <w:r>
        <w:rPr>
          <w:rFonts w:ascii="Times New Roman" w:hAnsi="Times New Roman" w:cs="Times New Roman"/>
        </w:rPr>
        <w:t>Een pensioenvoorziening.</w:t>
      </w:r>
    </w:p>
    <w:p w:rsidR="006A15B1" w:rsidRPr="006A15B1" w:rsidRDefault="006A15B1" w:rsidP="006A15B1">
      <w:pPr>
        <w:spacing w:after="0"/>
        <w:rPr>
          <w:rFonts w:ascii="Times New Roman" w:hAnsi="Times New Roman" w:cs="Times New Roman"/>
        </w:rPr>
      </w:pPr>
    </w:p>
    <w:sectPr w:rsidR="006A15B1" w:rsidRPr="006A15B1"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9"/>
  </w:num>
  <w:num w:numId="3">
    <w:abstractNumId w:val="12"/>
  </w:num>
  <w:num w:numId="4">
    <w:abstractNumId w:val="0"/>
  </w:num>
  <w:num w:numId="5">
    <w:abstractNumId w:val="8"/>
  </w:num>
  <w:num w:numId="6">
    <w:abstractNumId w:val="11"/>
  </w:num>
  <w:num w:numId="7">
    <w:abstractNumId w:val="3"/>
  </w:num>
  <w:num w:numId="8">
    <w:abstractNumId w:val="1"/>
  </w:num>
  <w:num w:numId="9">
    <w:abstractNumId w:val="6"/>
  </w:num>
  <w:num w:numId="10">
    <w:abstractNumId w:val="16"/>
  </w:num>
  <w:num w:numId="11">
    <w:abstractNumId w:val="10"/>
  </w:num>
  <w:num w:numId="12">
    <w:abstractNumId w:val="5"/>
  </w:num>
  <w:num w:numId="13">
    <w:abstractNumId w:val="4"/>
  </w:num>
  <w:num w:numId="14">
    <w:abstractNumId w:val="14"/>
  </w:num>
  <w:num w:numId="15">
    <w:abstractNumId w:val="15"/>
  </w:num>
  <w:num w:numId="16">
    <w:abstractNumId w:val="13"/>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E01"/>
    <w:rsid w:val="00144E7A"/>
    <w:rsid w:val="00151906"/>
    <w:rsid w:val="00156A5F"/>
    <w:rsid w:val="00156DEA"/>
    <w:rsid w:val="0016267D"/>
    <w:rsid w:val="00164702"/>
    <w:rsid w:val="00167063"/>
    <w:rsid w:val="00180B5F"/>
    <w:rsid w:val="00180BAF"/>
    <w:rsid w:val="001934E0"/>
    <w:rsid w:val="001A4D54"/>
    <w:rsid w:val="001B0D0C"/>
    <w:rsid w:val="001D17E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61C5B"/>
    <w:rsid w:val="0029333C"/>
    <w:rsid w:val="002A32D0"/>
    <w:rsid w:val="002B2D41"/>
    <w:rsid w:val="002B2DC2"/>
    <w:rsid w:val="002C3C6F"/>
    <w:rsid w:val="002C4B77"/>
    <w:rsid w:val="002D36A5"/>
    <w:rsid w:val="002D4112"/>
    <w:rsid w:val="00300AAD"/>
    <w:rsid w:val="003035D1"/>
    <w:rsid w:val="0030567B"/>
    <w:rsid w:val="00305B0C"/>
    <w:rsid w:val="003131FE"/>
    <w:rsid w:val="00325A90"/>
    <w:rsid w:val="00326B6E"/>
    <w:rsid w:val="003270C2"/>
    <w:rsid w:val="00335D30"/>
    <w:rsid w:val="003376F1"/>
    <w:rsid w:val="00340410"/>
    <w:rsid w:val="00341995"/>
    <w:rsid w:val="00346198"/>
    <w:rsid w:val="00350A07"/>
    <w:rsid w:val="003512C4"/>
    <w:rsid w:val="00351DCB"/>
    <w:rsid w:val="003532B9"/>
    <w:rsid w:val="00355518"/>
    <w:rsid w:val="0036177B"/>
    <w:rsid w:val="0036625E"/>
    <w:rsid w:val="00381845"/>
    <w:rsid w:val="003A06F7"/>
    <w:rsid w:val="003A27E0"/>
    <w:rsid w:val="003A527B"/>
    <w:rsid w:val="003A66C1"/>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7FA0"/>
    <w:rsid w:val="00472DF4"/>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367ED"/>
    <w:rsid w:val="00545DBA"/>
    <w:rsid w:val="00555F8F"/>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C2BAD"/>
    <w:rsid w:val="006D5201"/>
    <w:rsid w:val="006E09E8"/>
    <w:rsid w:val="006E2D53"/>
    <w:rsid w:val="006F4061"/>
    <w:rsid w:val="006F77C5"/>
    <w:rsid w:val="007000B2"/>
    <w:rsid w:val="007002CE"/>
    <w:rsid w:val="00704847"/>
    <w:rsid w:val="00706D57"/>
    <w:rsid w:val="00707488"/>
    <w:rsid w:val="007156CC"/>
    <w:rsid w:val="00731089"/>
    <w:rsid w:val="00731A74"/>
    <w:rsid w:val="00732CB8"/>
    <w:rsid w:val="00745776"/>
    <w:rsid w:val="00747725"/>
    <w:rsid w:val="007579EB"/>
    <w:rsid w:val="00781523"/>
    <w:rsid w:val="00781ED3"/>
    <w:rsid w:val="007B7EB4"/>
    <w:rsid w:val="007F1009"/>
    <w:rsid w:val="00822496"/>
    <w:rsid w:val="00822737"/>
    <w:rsid w:val="008243C2"/>
    <w:rsid w:val="008266BB"/>
    <w:rsid w:val="00836421"/>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4368"/>
    <w:rsid w:val="00914539"/>
    <w:rsid w:val="0091601A"/>
    <w:rsid w:val="00923916"/>
    <w:rsid w:val="00924D35"/>
    <w:rsid w:val="00927AA2"/>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6262"/>
    <w:rsid w:val="00A1041B"/>
    <w:rsid w:val="00A30268"/>
    <w:rsid w:val="00A30C8E"/>
    <w:rsid w:val="00A36A0C"/>
    <w:rsid w:val="00A47CCA"/>
    <w:rsid w:val="00A51676"/>
    <w:rsid w:val="00A53878"/>
    <w:rsid w:val="00A60927"/>
    <w:rsid w:val="00A61C2E"/>
    <w:rsid w:val="00A64369"/>
    <w:rsid w:val="00A65617"/>
    <w:rsid w:val="00A70515"/>
    <w:rsid w:val="00A744AA"/>
    <w:rsid w:val="00A800F3"/>
    <w:rsid w:val="00A81587"/>
    <w:rsid w:val="00A8383F"/>
    <w:rsid w:val="00A957E7"/>
    <w:rsid w:val="00AA1B18"/>
    <w:rsid w:val="00AA7AF8"/>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3DE5"/>
    <w:rsid w:val="00B66899"/>
    <w:rsid w:val="00B7549A"/>
    <w:rsid w:val="00B83FAB"/>
    <w:rsid w:val="00B845B4"/>
    <w:rsid w:val="00B87F02"/>
    <w:rsid w:val="00B90C8F"/>
    <w:rsid w:val="00BA47F6"/>
    <w:rsid w:val="00BA6697"/>
    <w:rsid w:val="00BB1AF0"/>
    <w:rsid w:val="00BB3D07"/>
    <w:rsid w:val="00BC1C61"/>
    <w:rsid w:val="00BD2B04"/>
    <w:rsid w:val="00BE2470"/>
    <w:rsid w:val="00BF4F29"/>
    <w:rsid w:val="00BF5C1C"/>
    <w:rsid w:val="00C0753C"/>
    <w:rsid w:val="00C148DF"/>
    <w:rsid w:val="00C244C2"/>
    <w:rsid w:val="00C32867"/>
    <w:rsid w:val="00C511EC"/>
    <w:rsid w:val="00C517D8"/>
    <w:rsid w:val="00C55D91"/>
    <w:rsid w:val="00C56E5E"/>
    <w:rsid w:val="00C71B1D"/>
    <w:rsid w:val="00C73BE2"/>
    <w:rsid w:val="00C8432D"/>
    <w:rsid w:val="00CC61F1"/>
    <w:rsid w:val="00CD3DBF"/>
    <w:rsid w:val="00CE7070"/>
    <w:rsid w:val="00CE7E10"/>
    <w:rsid w:val="00D031E2"/>
    <w:rsid w:val="00D062EA"/>
    <w:rsid w:val="00D06BB7"/>
    <w:rsid w:val="00D16710"/>
    <w:rsid w:val="00D17902"/>
    <w:rsid w:val="00D2794B"/>
    <w:rsid w:val="00D415DD"/>
    <w:rsid w:val="00D419A0"/>
    <w:rsid w:val="00D526FF"/>
    <w:rsid w:val="00D52E0B"/>
    <w:rsid w:val="00D53364"/>
    <w:rsid w:val="00D538CB"/>
    <w:rsid w:val="00D772F5"/>
    <w:rsid w:val="00D77A9F"/>
    <w:rsid w:val="00D8432F"/>
    <w:rsid w:val="00D97417"/>
    <w:rsid w:val="00DA4CA3"/>
    <w:rsid w:val="00DA7C29"/>
    <w:rsid w:val="00DB04C4"/>
    <w:rsid w:val="00DC474D"/>
    <w:rsid w:val="00DD0CD6"/>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F49"/>
    <w:rsid w:val="00EA7C95"/>
    <w:rsid w:val="00ED75B5"/>
    <w:rsid w:val="00EE3A53"/>
    <w:rsid w:val="00EE544D"/>
    <w:rsid w:val="00EE5EB7"/>
    <w:rsid w:val="00EF26BE"/>
    <w:rsid w:val="00EF7EA8"/>
    <w:rsid w:val="00F1497D"/>
    <w:rsid w:val="00F22D49"/>
    <w:rsid w:val="00F304E7"/>
    <w:rsid w:val="00F3466A"/>
    <w:rsid w:val="00F44A35"/>
    <w:rsid w:val="00F47AA6"/>
    <w:rsid w:val="00F53712"/>
    <w:rsid w:val="00F5665F"/>
    <w:rsid w:val="00F65786"/>
    <w:rsid w:val="00F77F53"/>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7ECFE-F181-486F-8854-FAB8660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7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34</cp:revision>
  <dcterms:created xsi:type="dcterms:W3CDTF">2010-04-21T17:54:00Z</dcterms:created>
  <dcterms:modified xsi:type="dcterms:W3CDTF">2016-05-07T15:41:00Z</dcterms:modified>
</cp:coreProperties>
</file>