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F1" w:rsidRDefault="00C2003E" w:rsidP="00AF35F1">
      <w:pPr>
        <w:spacing w:after="0"/>
        <w:rPr>
          <w:rFonts w:ascii="Times New Roman" w:hAnsi="Times New Roman" w:cs="Times New Roman"/>
          <w:b/>
        </w:rPr>
      </w:pPr>
      <w:r>
        <w:rPr>
          <w:rFonts w:ascii="Times New Roman" w:hAnsi="Times New Roman" w:cs="Times New Roman"/>
          <w:b/>
        </w:rPr>
        <w:t>VPS Personeel, Organisatie  Communicatie</w:t>
      </w:r>
    </w:p>
    <w:p w:rsidR="00AF35F1" w:rsidRDefault="0001480A" w:rsidP="00AF35F1">
      <w:pPr>
        <w:spacing w:after="0"/>
        <w:rPr>
          <w:rFonts w:ascii="Times New Roman" w:hAnsi="Times New Roman" w:cs="Times New Roman"/>
          <w:b/>
        </w:rPr>
      </w:pPr>
      <w:r>
        <w:rPr>
          <w:rFonts w:ascii="Times New Roman" w:hAnsi="Times New Roman" w:cs="Times New Roman"/>
          <w:b/>
        </w:rPr>
        <w:t>Antwoorden o</w:t>
      </w:r>
      <w:r w:rsidR="00AF35F1">
        <w:rPr>
          <w:rFonts w:ascii="Times New Roman" w:hAnsi="Times New Roman" w:cs="Times New Roman"/>
          <w:b/>
        </w:rPr>
        <w:t>pgaven</w:t>
      </w:r>
    </w:p>
    <w:p w:rsidR="00AF35F1" w:rsidRDefault="0094000C" w:rsidP="00AF35F1">
      <w:pPr>
        <w:spacing w:after="0"/>
        <w:rPr>
          <w:rFonts w:ascii="Times New Roman" w:hAnsi="Times New Roman" w:cs="Times New Roman"/>
          <w:b/>
        </w:rPr>
      </w:pPr>
      <w:r>
        <w:rPr>
          <w:rFonts w:ascii="Times New Roman" w:hAnsi="Times New Roman" w:cs="Times New Roman"/>
          <w:b/>
        </w:rPr>
        <w:t>Hoofdstuk 1</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4C4922" w:rsidRDefault="004C4922" w:rsidP="004C4922">
      <w:pPr>
        <w:pStyle w:val="Lijstalinea"/>
        <w:numPr>
          <w:ilvl w:val="0"/>
          <w:numId w:val="3"/>
        </w:numPr>
        <w:spacing w:after="0"/>
        <w:rPr>
          <w:rFonts w:ascii="Times New Roman" w:hAnsi="Times New Roman" w:cs="Times New Roman"/>
        </w:rPr>
      </w:pPr>
      <w:r>
        <w:rPr>
          <w:rFonts w:ascii="Times New Roman" w:hAnsi="Times New Roman" w:cs="Times New Roman"/>
        </w:rPr>
        <w:t>Elke organisatie (of het nu een ziekenhuis, sportvereniging, supermarkt of politieke partij is) heeft een bepaalde eigen identiteit. De eigen identiteit wordt ook wel de missie genoemd. De missie geeft de zin van de eigen identiteit aan. In gewoon Nederlands: de missie zegt wat de organisatie wil zijn of ‘waar we voor gaan’.</w:t>
      </w:r>
    </w:p>
    <w:p w:rsidR="004C4922" w:rsidRPr="004C4922" w:rsidRDefault="004C4922" w:rsidP="004C4922">
      <w:pPr>
        <w:pStyle w:val="Lijstalinea"/>
        <w:spacing w:after="0"/>
        <w:rPr>
          <w:rFonts w:ascii="Times New Roman" w:hAnsi="Times New Roman" w:cs="Times New Roman"/>
        </w:rPr>
      </w:pPr>
      <w:r>
        <w:rPr>
          <w:rFonts w:ascii="Times New Roman" w:hAnsi="Times New Roman" w:cs="Times New Roman"/>
        </w:rPr>
        <w:t>In de missie wordt kwalitatief en soms enigszins filosofisch aangegeven wat de organisatie wil betekenen voor haar klanten, medewerkers, aandeelhouders of andere belanghebbenden. Ook maakt de missie duidelijk waarin de organisatie zich onderscheidt van andere, soortgelijke organisaties.</w:t>
      </w:r>
    </w:p>
    <w:p w:rsidR="004C4922" w:rsidRDefault="004C4922" w:rsidP="00D77A9F">
      <w:pPr>
        <w:spacing w:after="0"/>
        <w:rPr>
          <w:rFonts w:ascii="Times New Roman" w:hAnsi="Times New Roman" w:cs="Times New Roman"/>
        </w:rPr>
      </w:pPr>
    </w:p>
    <w:p w:rsidR="004C4922" w:rsidRDefault="004C4922" w:rsidP="004C4922">
      <w:pPr>
        <w:pStyle w:val="Lijstalinea"/>
        <w:numPr>
          <w:ilvl w:val="0"/>
          <w:numId w:val="3"/>
        </w:numPr>
        <w:spacing w:after="0"/>
        <w:rPr>
          <w:rFonts w:ascii="Times New Roman" w:hAnsi="Times New Roman" w:cs="Times New Roman"/>
        </w:rPr>
      </w:pPr>
      <w:r>
        <w:rPr>
          <w:rFonts w:ascii="Times New Roman" w:hAnsi="Times New Roman" w:cs="Times New Roman"/>
        </w:rPr>
        <w:t xml:space="preserve">De </w:t>
      </w:r>
      <w:proofErr w:type="spellStart"/>
      <w:r w:rsidR="00987E7A">
        <w:rPr>
          <w:rFonts w:ascii="Times New Roman" w:hAnsi="Times New Roman" w:cs="Times New Roman"/>
        </w:rPr>
        <w:t>B</w:t>
      </w:r>
      <w:r>
        <w:rPr>
          <w:rFonts w:ascii="Times New Roman" w:hAnsi="Times New Roman" w:cs="Times New Roman"/>
        </w:rPr>
        <w:t>alanced</w:t>
      </w:r>
      <w:proofErr w:type="spellEnd"/>
      <w:r>
        <w:rPr>
          <w:rFonts w:ascii="Times New Roman" w:hAnsi="Times New Roman" w:cs="Times New Roman"/>
        </w:rPr>
        <w:t xml:space="preserve"> </w:t>
      </w:r>
      <w:r w:rsidR="00987E7A">
        <w:rPr>
          <w:rFonts w:ascii="Times New Roman" w:hAnsi="Times New Roman" w:cs="Times New Roman"/>
        </w:rPr>
        <w:t>S</w:t>
      </w:r>
      <w:r>
        <w:rPr>
          <w:rFonts w:ascii="Times New Roman" w:hAnsi="Times New Roman" w:cs="Times New Roman"/>
        </w:rPr>
        <w:t xml:space="preserve">core </w:t>
      </w:r>
      <w:r w:rsidR="00987E7A">
        <w:rPr>
          <w:rFonts w:ascii="Times New Roman" w:hAnsi="Times New Roman" w:cs="Times New Roman"/>
        </w:rPr>
        <w:t>C</w:t>
      </w:r>
      <w:r>
        <w:rPr>
          <w:rFonts w:ascii="Times New Roman" w:hAnsi="Times New Roman" w:cs="Times New Roman"/>
        </w:rPr>
        <w:t>ard is een instrument voor strategisch management, waarbij visie en strategie worden vertaald in meetbaar gereedschap. De onderneming vertaalt de strategie in meetbare doelstellingen op de volgende gebieden: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klant: ‘Hoe zien onze klanten ons?’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interne processen: ‘Op welk gebied moeten wij de eigen prestaties verbeteren?’</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financieel perspectief: ‘Hoe zien we eruit voor de aandeelhouders en andere financiers?’</w:t>
      </w:r>
    </w:p>
    <w:p w:rsidR="004C4922" w:rsidRDefault="004C4922" w:rsidP="004C4922">
      <w:pPr>
        <w:pStyle w:val="Lijstalinea"/>
        <w:numPr>
          <w:ilvl w:val="0"/>
          <w:numId w:val="4"/>
        </w:numPr>
        <w:spacing w:after="0"/>
        <w:rPr>
          <w:rFonts w:ascii="Times New Roman" w:hAnsi="Times New Roman" w:cs="Times New Roman"/>
        </w:rPr>
      </w:pPr>
      <w:r>
        <w:rPr>
          <w:rFonts w:ascii="Times New Roman" w:hAnsi="Times New Roman" w:cs="Times New Roman"/>
        </w:rPr>
        <w:t>het perspectief van lerend vermogen en innovatie: ‘Kunnen we blijven verbeteren en groeien?’</w:t>
      </w:r>
    </w:p>
    <w:p w:rsidR="004C4922" w:rsidRDefault="004C4922" w:rsidP="004C4922">
      <w:pPr>
        <w:spacing w:after="0"/>
        <w:rPr>
          <w:rFonts w:ascii="Times New Roman" w:hAnsi="Times New Roman" w:cs="Times New Roman"/>
        </w:rPr>
      </w:pPr>
    </w:p>
    <w:p w:rsidR="00D16710" w:rsidRDefault="0010447C" w:rsidP="004C4922">
      <w:pPr>
        <w:pStyle w:val="Lijstalinea"/>
        <w:numPr>
          <w:ilvl w:val="0"/>
          <w:numId w:val="3"/>
        </w:numPr>
        <w:spacing w:after="0"/>
        <w:rPr>
          <w:rFonts w:ascii="Times New Roman" w:hAnsi="Times New Roman" w:cs="Times New Roman"/>
        </w:rPr>
      </w:pPr>
      <w:r>
        <w:rPr>
          <w:rFonts w:ascii="Times New Roman" w:hAnsi="Times New Roman" w:cs="Times New Roman"/>
        </w:rPr>
        <w:t xml:space="preserve">Een KSF (ook wel </w:t>
      </w:r>
      <w:proofErr w:type="spellStart"/>
      <w:r>
        <w:rPr>
          <w:rFonts w:ascii="Times New Roman" w:hAnsi="Times New Roman" w:cs="Times New Roman"/>
        </w:rPr>
        <w:t>Key</w:t>
      </w:r>
      <w:proofErr w:type="spellEnd"/>
      <w:r>
        <w:rPr>
          <w:rFonts w:ascii="Times New Roman" w:hAnsi="Times New Roman" w:cs="Times New Roman"/>
        </w:rPr>
        <w:t xml:space="preserve"> </w:t>
      </w:r>
      <w:proofErr w:type="spellStart"/>
      <w:r>
        <w:rPr>
          <w:rFonts w:ascii="Times New Roman" w:hAnsi="Times New Roman" w:cs="Times New Roman"/>
        </w:rPr>
        <w:t>Success</w:t>
      </w:r>
      <w:proofErr w:type="spellEnd"/>
      <w:r>
        <w:rPr>
          <w:rFonts w:ascii="Times New Roman" w:hAnsi="Times New Roman" w:cs="Times New Roman"/>
        </w:rPr>
        <w:t xml:space="preserve"> Factor of Critical </w:t>
      </w:r>
      <w:proofErr w:type="spellStart"/>
      <w:r>
        <w:rPr>
          <w:rFonts w:ascii="Times New Roman" w:hAnsi="Times New Roman" w:cs="Times New Roman"/>
        </w:rPr>
        <w:t>Success</w:t>
      </w:r>
      <w:proofErr w:type="spellEnd"/>
      <w:r>
        <w:rPr>
          <w:rFonts w:ascii="Times New Roman" w:hAnsi="Times New Roman" w:cs="Times New Roman"/>
        </w:rPr>
        <w:t xml:space="preserve"> Factor) is een factor die ‘kritiek’ is voor een organisatie of project om haar missie te verwezenlijken.</w:t>
      </w:r>
      <w:r w:rsidR="00D16710">
        <w:rPr>
          <w:rFonts w:ascii="Times New Roman" w:hAnsi="Times New Roman" w:cs="Times New Roman"/>
        </w:rPr>
        <w:t xml:space="preserve"> Deze factor bepaalt in sterke mate of een bepaalde doelstelling al dan niet wordt bereikt.</w:t>
      </w:r>
    </w:p>
    <w:p w:rsidR="00D16710" w:rsidRDefault="00D16710" w:rsidP="00D16710">
      <w:pPr>
        <w:spacing w:after="0"/>
        <w:rPr>
          <w:rFonts w:ascii="Times New Roman" w:hAnsi="Times New Roman" w:cs="Times New Roman"/>
        </w:rPr>
      </w:pPr>
    </w:p>
    <w:p w:rsidR="00A61C2E" w:rsidRDefault="00981644" w:rsidP="00D16710">
      <w:pPr>
        <w:pStyle w:val="Lijstalinea"/>
        <w:numPr>
          <w:ilvl w:val="0"/>
          <w:numId w:val="3"/>
        </w:numPr>
        <w:spacing w:after="0"/>
        <w:rPr>
          <w:rFonts w:ascii="Times New Roman" w:hAnsi="Times New Roman" w:cs="Times New Roman"/>
        </w:rPr>
      </w:pPr>
      <w:r>
        <w:rPr>
          <w:rFonts w:ascii="Times New Roman" w:hAnsi="Times New Roman" w:cs="Times New Roman"/>
        </w:rPr>
        <w:t>De onderneming</w:t>
      </w:r>
      <w:r w:rsidR="00A61C2E">
        <w:rPr>
          <w:rFonts w:ascii="Times New Roman" w:hAnsi="Times New Roman" w:cs="Times New Roman"/>
        </w:rPr>
        <w:t xml:space="preserve"> formuleert voor iedere kritische succesfactor een norm, oftewel een prestatie-indicator. Een prestatie-indicator meet of de kwantificeerbare doelen van de organisatie worden gehaald. Om dit te meten wordt de prestatie-indicator gesteld tegen een bepaalde norm.</w:t>
      </w:r>
    </w:p>
    <w:p w:rsidR="00A61C2E" w:rsidRPr="00A61C2E" w:rsidRDefault="00A61C2E" w:rsidP="00A61C2E">
      <w:pPr>
        <w:pStyle w:val="Lijstalinea"/>
        <w:rPr>
          <w:rFonts w:ascii="Times New Roman" w:hAnsi="Times New Roman" w:cs="Times New Roman"/>
        </w:rPr>
      </w:pPr>
    </w:p>
    <w:p w:rsidR="004C4922" w:rsidRDefault="00040EA9" w:rsidP="00D16710">
      <w:pPr>
        <w:pStyle w:val="Lijstalinea"/>
        <w:numPr>
          <w:ilvl w:val="0"/>
          <w:numId w:val="3"/>
        </w:numPr>
        <w:spacing w:after="0"/>
        <w:rPr>
          <w:rFonts w:ascii="Times New Roman" w:hAnsi="Times New Roman" w:cs="Times New Roman"/>
        </w:rPr>
      </w:pPr>
      <w:r>
        <w:rPr>
          <w:rFonts w:ascii="Times New Roman" w:hAnsi="Times New Roman" w:cs="Times New Roman"/>
        </w:rPr>
        <w:t>a. De formulering van een kritische succesfactor moet voldoen aan de eisen van ‘S</w:t>
      </w:r>
      <w:r w:rsidR="00987E7A">
        <w:rPr>
          <w:rFonts w:ascii="Times New Roman" w:hAnsi="Times New Roman" w:cs="Times New Roman"/>
        </w:rPr>
        <w:t>MART’</w:t>
      </w:r>
      <w:r>
        <w:rPr>
          <w:rFonts w:ascii="Times New Roman" w:hAnsi="Times New Roman" w:cs="Times New Roman"/>
        </w:rPr>
        <w:t>. In het artikel wordt de nadruk gelegd op de efficiency van het uitbesteden van de HRM-activiteiten. De kritische succesfactor zal geformuleerd moeten worden in één van de genoemde perspectieven.</w:t>
      </w:r>
    </w:p>
    <w:p w:rsidR="00040EA9" w:rsidRDefault="00040EA9" w:rsidP="00040EA9">
      <w:pPr>
        <w:pStyle w:val="Lijstalinea"/>
        <w:rPr>
          <w:rFonts w:ascii="Times New Roman" w:hAnsi="Times New Roman" w:cs="Times New Roman"/>
        </w:rPr>
      </w:pPr>
      <w:r>
        <w:rPr>
          <w:rFonts w:ascii="Times New Roman" w:hAnsi="Times New Roman" w:cs="Times New Roman"/>
        </w:rPr>
        <w:t>Bij deze vraag zijn overigens meerdere antwoorden goed. Van belang is of de formulering ‘S</w:t>
      </w:r>
      <w:r w:rsidR="00987E7A">
        <w:rPr>
          <w:rFonts w:ascii="Times New Roman" w:hAnsi="Times New Roman" w:cs="Times New Roman"/>
        </w:rPr>
        <w:t>MART</w:t>
      </w:r>
      <w:r>
        <w:rPr>
          <w:rFonts w:ascii="Times New Roman" w:hAnsi="Times New Roman" w:cs="Times New Roman"/>
        </w:rPr>
        <w:t>’ is en of de kritische succesfactor in één van de perspectieven kan worden geplaatst.</w:t>
      </w:r>
    </w:p>
    <w:p w:rsidR="004F0C77" w:rsidRDefault="004F0C77" w:rsidP="00040EA9">
      <w:pPr>
        <w:pStyle w:val="Lijstalinea"/>
        <w:spacing w:after="0"/>
        <w:rPr>
          <w:rFonts w:ascii="Times New Roman" w:hAnsi="Times New Roman" w:cs="Times New Roman"/>
        </w:rPr>
      </w:pPr>
    </w:p>
    <w:p w:rsidR="00040EA9" w:rsidRPr="00040EA9" w:rsidRDefault="00040EA9" w:rsidP="00040EA9">
      <w:pPr>
        <w:pStyle w:val="Lijstalinea"/>
        <w:spacing w:after="0"/>
        <w:rPr>
          <w:rFonts w:ascii="Times New Roman" w:hAnsi="Times New Roman" w:cs="Times New Roman"/>
        </w:rPr>
      </w:pPr>
      <w:r>
        <w:rPr>
          <w:rFonts w:ascii="Times New Roman" w:hAnsi="Times New Roman" w:cs="Times New Roman"/>
        </w:rPr>
        <w:t>b. De norm moet ook concreet zijn. Essentieel is dat de norm correspondeert met de ‘S</w:t>
      </w:r>
      <w:r w:rsidR="00987E7A">
        <w:rPr>
          <w:rFonts w:ascii="Times New Roman" w:hAnsi="Times New Roman" w:cs="Times New Roman"/>
        </w:rPr>
        <w:t>MART</w:t>
      </w:r>
      <w:r>
        <w:rPr>
          <w:rFonts w:ascii="Times New Roman" w:hAnsi="Times New Roman" w:cs="Times New Roman"/>
        </w:rPr>
        <w:t>-geformuleerde’ kritische succesfactor.</w:t>
      </w:r>
    </w:p>
    <w:p w:rsidR="00040EA9" w:rsidRDefault="00040EA9" w:rsidP="00040EA9">
      <w:pPr>
        <w:spacing w:after="0"/>
        <w:rPr>
          <w:rFonts w:ascii="Times New Roman" w:hAnsi="Times New Roman" w:cs="Times New Roman"/>
        </w:rPr>
      </w:pPr>
    </w:p>
    <w:p w:rsidR="00040EA9" w:rsidRDefault="00167063" w:rsidP="00040EA9">
      <w:pPr>
        <w:pStyle w:val="Lijstalinea"/>
        <w:numPr>
          <w:ilvl w:val="0"/>
          <w:numId w:val="3"/>
        </w:numPr>
        <w:spacing w:after="0"/>
        <w:rPr>
          <w:rFonts w:ascii="Times New Roman" w:hAnsi="Times New Roman" w:cs="Times New Roman"/>
        </w:rPr>
      </w:pPr>
      <w:r>
        <w:rPr>
          <w:rFonts w:ascii="Times New Roman" w:hAnsi="Times New Roman" w:cs="Times New Roman"/>
        </w:rPr>
        <w:t xml:space="preserve">Het uitbesteden van de HRM-activiteiten aan een shared service center in een grote onderneming zal ertoe leiden dat de afzonderlijke HRM-afdelingen worden samengevoegd. De inrichting van een shared service center kan een goede stap zijn in de richting van de </w:t>
      </w:r>
      <w:r>
        <w:rPr>
          <w:rFonts w:ascii="Times New Roman" w:hAnsi="Times New Roman" w:cs="Times New Roman"/>
        </w:rPr>
        <w:lastRenderedPageBreak/>
        <w:t xml:space="preserve">realisatie van de strategie van een onderneming. Het meten van de strategie kan plaatsvinden aan de hand van de </w:t>
      </w:r>
      <w:proofErr w:type="spellStart"/>
      <w:r w:rsidR="00987E7A">
        <w:rPr>
          <w:rFonts w:ascii="Times New Roman" w:hAnsi="Times New Roman" w:cs="Times New Roman"/>
        </w:rPr>
        <w:t>B</w:t>
      </w:r>
      <w:r>
        <w:rPr>
          <w:rFonts w:ascii="Times New Roman" w:hAnsi="Times New Roman" w:cs="Times New Roman"/>
        </w:rPr>
        <w:t>alanced</w:t>
      </w:r>
      <w:proofErr w:type="spellEnd"/>
      <w:r>
        <w:rPr>
          <w:rFonts w:ascii="Times New Roman" w:hAnsi="Times New Roman" w:cs="Times New Roman"/>
        </w:rPr>
        <w:t xml:space="preserve"> </w:t>
      </w:r>
      <w:r w:rsidR="00987E7A">
        <w:rPr>
          <w:rFonts w:ascii="Times New Roman" w:hAnsi="Times New Roman" w:cs="Times New Roman"/>
        </w:rPr>
        <w:t>S</w:t>
      </w:r>
      <w:r>
        <w:rPr>
          <w:rFonts w:ascii="Times New Roman" w:hAnsi="Times New Roman" w:cs="Times New Roman"/>
        </w:rPr>
        <w:t xml:space="preserve">core </w:t>
      </w:r>
      <w:r w:rsidR="00987E7A">
        <w:rPr>
          <w:rFonts w:ascii="Times New Roman" w:hAnsi="Times New Roman" w:cs="Times New Roman"/>
        </w:rPr>
        <w:t>C</w:t>
      </w:r>
      <w:r>
        <w:rPr>
          <w:rFonts w:ascii="Times New Roman" w:hAnsi="Times New Roman" w:cs="Times New Roman"/>
        </w:rPr>
        <w:t>ard. In dit verband zijn de volgende perspectieven belangrijk:</w:t>
      </w:r>
    </w:p>
    <w:p w:rsidR="00167063" w:rsidRDefault="00167063" w:rsidP="00167063">
      <w:pPr>
        <w:pStyle w:val="Lijstalinea"/>
        <w:numPr>
          <w:ilvl w:val="0"/>
          <w:numId w:val="4"/>
        </w:numPr>
        <w:spacing w:after="0"/>
        <w:rPr>
          <w:rFonts w:ascii="Times New Roman" w:hAnsi="Times New Roman" w:cs="Times New Roman"/>
        </w:rPr>
      </w:pPr>
      <w:r>
        <w:rPr>
          <w:rFonts w:ascii="Times New Roman" w:hAnsi="Times New Roman" w:cs="Times New Roman"/>
        </w:rPr>
        <w:t>het klantenperspectief; door de inschakeling van een shared service center kan de dienstverlening aan de medewerkers (de interne klanten) worden verbeterd doordat meer deskundigheid kan worden verzameld;</w:t>
      </w:r>
    </w:p>
    <w:p w:rsidR="00167063" w:rsidRDefault="00167063" w:rsidP="00167063">
      <w:pPr>
        <w:pStyle w:val="Lijstalinea"/>
        <w:numPr>
          <w:ilvl w:val="0"/>
          <w:numId w:val="4"/>
        </w:numPr>
        <w:spacing w:after="0"/>
        <w:rPr>
          <w:rFonts w:ascii="Times New Roman" w:hAnsi="Times New Roman" w:cs="Times New Roman"/>
        </w:rPr>
      </w:pPr>
      <w:r>
        <w:rPr>
          <w:rFonts w:ascii="Times New Roman" w:hAnsi="Times New Roman" w:cs="Times New Roman"/>
        </w:rPr>
        <w:t>het financieel perspectief; concentratie van HRM-afdelingen kan leiden tot verlaging van de totale kosten. Men kan de dienstverlening efficiënter verzorgen;</w:t>
      </w:r>
    </w:p>
    <w:p w:rsidR="00167063" w:rsidRDefault="00167063" w:rsidP="00167063">
      <w:pPr>
        <w:pStyle w:val="Lijstalinea"/>
        <w:numPr>
          <w:ilvl w:val="0"/>
          <w:numId w:val="4"/>
        </w:numPr>
        <w:spacing w:after="0"/>
        <w:rPr>
          <w:rFonts w:ascii="Times New Roman" w:hAnsi="Times New Roman" w:cs="Times New Roman"/>
        </w:rPr>
      </w:pPr>
      <w:r>
        <w:rPr>
          <w:rFonts w:ascii="Times New Roman" w:hAnsi="Times New Roman" w:cs="Times New Roman"/>
        </w:rPr>
        <w:t>het perspectief van de interne processen; door de samenbundeling van activiteiten kan men zich makkelijker gaan specialiseren, waardoor eigen prestaties worden verbeterd;</w:t>
      </w:r>
    </w:p>
    <w:p w:rsidR="00167063" w:rsidRDefault="00545DBA" w:rsidP="00167063">
      <w:pPr>
        <w:pStyle w:val="Lijstalinea"/>
        <w:numPr>
          <w:ilvl w:val="0"/>
          <w:numId w:val="4"/>
        </w:numPr>
        <w:spacing w:after="0"/>
        <w:rPr>
          <w:rFonts w:ascii="Times New Roman" w:hAnsi="Times New Roman" w:cs="Times New Roman"/>
        </w:rPr>
      </w:pPr>
      <w:r>
        <w:rPr>
          <w:rFonts w:ascii="Times New Roman" w:hAnsi="Times New Roman" w:cs="Times New Roman"/>
        </w:rPr>
        <w:t>het innovatief perspectief; door de samenbundeling van activiteiten zijn er meer mogelijkheden voor het aanbieden van specifieke opleidingen aan de medewerkers, het bijhouden van vakkennis en het volgen van de laatste ontwikkelingen.</w:t>
      </w:r>
    </w:p>
    <w:p w:rsidR="00545DBA" w:rsidRDefault="00545DBA" w:rsidP="00545DBA">
      <w:pPr>
        <w:spacing w:after="0"/>
        <w:rPr>
          <w:rFonts w:ascii="Times New Roman" w:hAnsi="Times New Roman" w:cs="Times New Roman"/>
        </w:rPr>
      </w:pPr>
    </w:p>
    <w:p w:rsidR="00545DBA" w:rsidRDefault="000303D9" w:rsidP="00545DBA">
      <w:pPr>
        <w:spacing w:after="0"/>
        <w:rPr>
          <w:rFonts w:ascii="Times New Roman" w:hAnsi="Times New Roman" w:cs="Times New Roman"/>
        </w:rPr>
      </w:pPr>
      <w:r>
        <w:rPr>
          <w:rFonts w:ascii="Times New Roman" w:hAnsi="Times New Roman" w:cs="Times New Roman"/>
          <w:b/>
        </w:rPr>
        <w:t>Opgave 2</w:t>
      </w:r>
    </w:p>
    <w:p w:rsidR="000303D9" w:rsidRDefault="000303D9" w:rsidP="00545DBA">
      <w:pPr>
        <w:spacing w:after="0"/>
        <w:rPr>
          <w:rFonts w:ascii="Times New Roman" w:hAnsi="Times New Roman" w:cs="Times New Roman"/>
        </w:rPr>
      </w:pPr>
    </w:p>
    <w:p w:rsidR="00064260" w:rsidRDefault="00151906" w:rsidP="00151906">
      <w:pPr>
        <w:pStyle w:val="Lijstalinea"/>
        <w:numPr>
          <w:ilvl w:val="0"/>
          <w:numId w:val="1"/>
        </w:numPr>
        <w:spacing w:after="0"/>
        <w:rPr>
          <w:rFonts w:ascii="Times New Roman" w:hAnsi="Times New Roman" w:cs="Times New Roman"/>
        </w:rPr>
      </w:pPr>
      <w:r>
        <w:rPr>
          <w:rFonts w:ascii="Times New Roman" w:hAnsi="Times New Roman" w:cs="Times New Roman"/>
        </w:rPr>
        <w:t xml:space="preserve">Met behulp van de </w:t>
      </w:r>
      <w:proofErr w:type="spellStart"/>
      <w:r w:rsidR="00987E7A">
        <w:rPr>
          <w:rFonts w:ascii="Times New Roman" w:hAnsi="Times New Roman" w:cs="Times New Roman"/>
        </w:rPr>
        <w:t>Balanced</w:t>
      </w:r>
      <w:proofErr w:type="spellEnd"/>
      <w:r w:rsidR="00987E7A">
        <w:rPr>
          <w:rFonts w:ascii="Times New Roman" w:hAnsi="Times New Roman" w:cs="Times New Roman"/>
        </w:rPr>
        <w:t xml:space="preserve"> Score Card wil de leiding van de onderneming controleren of en in hoeverre het strategische beleid wordt gerealiseerd. Door het formuleren van doelstellingen in de vier perspectieven wil de onderneming ervoor zorgen dat een evenwichtige strategie wordt uitgevoerd.</w:t>
      </w:r>
    </w:p>
    <w:p w:rsidR="00987E7A" w:rsidRDefault="00987E7A" w:rsidP="00987E7A">
      <w:pPr>
        <w:spacing w:after="0"/>
        <w:rPr>
          <w:rFonts w:ascii="Times New Roman" w:hAnsi="Times New Roman" w:cs="Times New Roman"/>
        </w:rPr>
      </w:pPr>
    </w:p>
    <w:p w:rsidR="00987E7A" w:rsidRDefault="00731089" w:rsidP="00987E7A">
      <w:pPr>
        <w:pStyle w:val="Lijstalinea"/>
        <w:numPr>
          <w:ilvl w:val="0"/>
          <w:numId w:val="1"/>
        </w:numPr>
        <w:spacing w:after="0"/>
        <w:rPr>
          <w:rFonts w:ascii="Times New Roman" w:hAnsi="Times New Roman" w:cs="Times New Roman"/>
        </w:rPr>
      </w:pPr>
      <w:r>
        <w:rPr>
          <w:rFonts w:ascii="Times New Roman" w:hAnsi="Times New Roman" w:cs="Times New Roman"/>
        </w:rPr>
        <w:t>Een kritische succesfactor is een activiteit die bepalend is voor het realiseren van het strategische beleid van de onderneming.</w:t>
      </w:r>
    </w:p>
    <w:p w:rsidR="00731089" w:rsidRPr="00731089" w:rsidRDefault="00731089" w:rsidP="00731089">
      <w:pPr>
        <w:pStyle w:val="Lijstalinea"/>
        <w:rPr>
          <w:rFonts w:ascii="Times New Roman" w:hAnsi="Times New Roman" w:cs="Times New Roman"/>
        </w:rPr>
      </w:pPr>
    </w:p>
    <w:p w:rsidR="00731089" w:rsidRDefault="001F513F" w:rsidP="00987E7A">
      <w:pPr>
        <w:pStyle w:val="Lijstalinea"/>
        <w:numPr>
          <w:ilvl w:val="0"/>
          <w:numId w:val="1"/>
        </w:numPr>
        <w:spacing w:after="0"/>
        <w:rPr>
          <w:rFonts w:ascii="Times New Roman" w:hAnsi="Times New Roman" w:cs="Times New Roman"/>
        </w:rPr>
      </w:pPr>
      <w:r>
        <w:rPr>
          <w:rFonts w:ascii="Times New Roman" w:hAnsi="Times New Roman" w:cs="Times New Roman"/>
        </w:rPr>
        <w:t>De onderneming uit de opgave heeft onder andere vier doelstellingen bepaald. Deze doelstellingen kunnen worden ingedeeld bij de volgende perspectieven:</w:t>
      </w:r>
    </w:p>
    <w:p w:rsidR="001F513F" w:rsidRDefault="007000B2" w:rsidP="007000B2">
      <w:pPr>
        <w:pStyle w:val="Lijstalinea"/>
        <w:numPr>
          <w:ilvl w:val="0"/>
          <w:numId w:val="5"/>
        </w:numPr>
        <w:spacing w:after="0"/>
        <w:rPr>
          <w:rFonts w:ascii="Times New Roman" w:hAnsi="Times New Roman" w:cs="Times New Roman"/>
        </w:rPr>
      </w:pPr>
      <w:r>
        <w:rPr>
          <w:rFonts w:ascii="Times New Roman" w:hAnsi="Times New Roman" w:cs="Times New Roman"/>
        </w:rPr>
        <w:t>financieel perspectief: de gemiddelde lonen mogen in 201</w:t>
      </w:r>
      <w:r w:rsidR="00C2003E">
        <w:rPr>
          <w:rFonts w:ascii="Times New Roman" w:hAnsi="Times New Roman" w:cs="Times New Roman"/>
        </w:rPr>
        <w:t>6</w:t>
      </w:r>
      <w:r>
        <w:rPr>
          <w:rFonts w:ascii="Times New Roman" w:hAnsi="Times New Roman" w:cs="Times New Roman"/>
        </w:rPr>
        <w:t xml:space="preserve"> niet meer stijgen dan 3,25% ten opzichte van 20</w:t>
      </w:r>
      <w:r w:rsidR="008363A3">
        <w:rPr>
          <w:rFonts w:ascii="Times New Roman" w:hAnsi="Times New Roman" w:cs="Times New Roman"/>
        </w:rPr>
        <w:t>1</w:t>
      </w:r>
      <w:r w:rsidR="00C2003E">
        <w:rPr>
          <w:rFonts w:ascii="Times New Roman" w:hAnsi="Times New Roman" w:cs="Times New Roman"/>
        </w:rPr>
        <w:t>5</w:t>
      </w:r>
      <w:r>
        <w:rPr>
          <w:rFonts w:ascii="Times New Roman" w:hAnsi="Times New Roman" w:cs="Times New Roman"/>
        </w:rPr>
        <w:t>;</w:t>
      </w:r>
    </w:p>
    <w:p w:rsidR="007000B2" w:rsidRDefault="00F5665F" w:rsidP="007000B2">
      <w:pPr>
        <w:pStyle w:val="Lijstalinea"/>
        <w:numPr>
          <w:ilvl w:val="0"/>
          <w:numId w:val="5"/>
        </w:numPr>
        <w:spacing w:after="0"/>
        <w:rPr>
          <w:rFonts w:ascii="Times New Roman" w:hAnsi="Times New Roman" w:cs="Times New Roman"/>
        </w:rPr>
      </w:pPr>
      <w:r>
        <w:rPr>
          <w:rFonts w:ascii="Times New Roman" w:hAnsi="Times New Roman" w:cs="Times New Roman"/>
        </w:rPr>
        <w:t>innovatieperspectief: een medewerker dient jaarlijks minimaal vier dagen scholing te volgen voor het bijhouden van de laatste ontwikkelingen;</w:t>
      </w:r>
    </w:p>
    <w:p w:rsidR="00F5665F" w:rsidRDefault="00F5665F" w:rsidP="007000B2">
      <w:pPr>
        <w:pStyle w:val="Lijstalinea"/>
        <w:numPr>
          <w:ilvl w:val="0"/>
          <w:numId w:val="5"/>
        </w:numPr>
        <w:spacing w:after="0"/>
        <w:rPr>
          <w:rFonts w:ascii="Times New Roman" w:hAnsi="Times New Roman" w:cs="Times New Roman"/>
        </w:rPr>
      </w:pPr>
      <w:r>
        <w:rPr>
          <w:rFonts w:ascii="Times New Roman" w:hAnsi="Times New Roman" w:cs="Times New Roman"/>
        </w:rPr>
        <w:t>financieel perspectief: het aantal afnemers moet groeien met 8% met een gemiddelde omzet van € 15.000 per nieuwe klant;</w:t>
      </w:r>
    </w:p>
    <w:p w:rsidR="00F5665F" w:rsidRPr="001F513F" w:rsidRDefault="00F5665F" w:rsidP="007000B2">
      <w:pPr>
        <w:pStyle w:val="Lijstalinea"/>
        <w:numPr>
          <w:ilvl w:val="0"/>
          <w:numId w:val="5"/>
        </w:numPr>
        <w:spacing w:after="0"/>
        <w:rPr>
          <w:rFonts w:ascii="Times New Roman" w:hAnsi="Times New Roman" w:cs="Times New Roman"/>
        </w:rPr>
      </w:pPr>
      <w:r>
        <w:rPr>
          <w:rFonts w:ascii="Times New Roman" w:hAnsi="Times New Roman" w:cs="Times New Roman"/>
        </w:rPr>
        <w:t>perspectief van interne processen: de tijd tussen het ontvangen van de opdracht en het afleveren van de bestelde producten mag maximaal 48 uur zijn (zaterdag en zondagen niet meegerekend).</w:t>
      </w:r>
    </w:p>
    <w:p w:rsidR="001F513F" w:rsidRDefault="001F513F" w:rsidP="001F513F">
      <w:pPr>
        <w:spacing w:after="0"/>
        <w:rPr>
          <w:rFonts w:ascii="Times New Roman" w:hAnsi="Times New Roman" w:cs="Times New Roman"/>
        </w:rPr>
      </w:pPr>
    </w:p>
    <w:p w:rsidR="00F5665F" w:rsidRDefault="00DA7C29" w:rsidP="00F5665F">
      <w:pPr>
        <w:pStyle w:val="Lijstalinea"/>
        <w:numPr>
          <w:ilvl w:val="0"/>
          <w:numId w:val="1"/>
        </w:numPr>
        <w:spacing w:after="0"/>
        <w:rPr>
          <w:rFonts w:ascii="Times New Roman" w:hAnsi="Times New Roman" w:cs="Times New Roman"/>
        </w:rPr>
      </w:pPr>
      <w:r>
        <w:rPr>
          <w:rFonts w:ascii="Times New Roman" w:hAnsi="Times New Roman" w:cs="Times New Roman"/>
        </w:rPr>
        <w:t>Het SMART-principe wil zeggen dat een doelstelling haalbaar is en door iedereen ook als zodanig wordt geaccepteerd. De norm moet ook meetbaar zijn en iets zeggen over de prestatie-indicator. Tot slot is van belang dat een norm tijdgebonden is. In de loop van de tijd kan de norm veranderen, bijvoorbeeld door verbeterde technologie.</w:t>
      </w:r>
    </w:p>
    <w:p w:rsidR="00DA7C29" w:rsidRDefault="00DA7C29" w:rsidP="00DA7C29">
      <w:pPr>
        <w:spacing w:after="0"/>
        <w:rPr>
          <w:rFonts w:ascii="Times New Roman" w:hAnsi="Times New Roman" w:cs="Times New Roman"/>
        </w:rPr>
      </w:pPr>
    </w:p>
    <w:p w:rsidR="0068460B" w:rsidRDefault="0068460B">
      <w:pPr>
        <w:rPr>
          <w:rFonts w:ascii="Times New Roman" w:hAnsi="Times New Roman" w:cs="Times New Roman"/>
          <w:b/>
        </w:rPr>
      </w:pPr>
      <w:r>
        <w:rPr>
          <w:rFonts w:ascii="Times New Roman" w:hAnsi="Times New Roman" w:cs="Times New Roman"/>
          <w:b/>
        </w:rPr>
        <w:br w:type="page"/>
      </w:r>
    </w:p>
    <w:p w:rsidR="0068460B" w:rsidRDefault="0068460B" w:rsidP="0068460B">
      <w:pPr>
        <w:spacing w:after="0"/>
        <w:rPr>
          <w:rFonts w:ascii="Times New Roman" w:hAnsi="Times New Roman" w:cs="Times New Roman"/>
          <w:b/>
        </w:rPr>
      </w:pPr>
      <w:r>
        <w:rPr>
          <w:rFonts w:ascii="Times New Roman" w:hAnsi="Times New Roman" w:cs="Times New Roman"/>
          <w:b/>
        </w:rPr>
        <w:lastRenderedPageBreak/>
        <w:t>Opgave 3</w:t>
      </w:r>
    </w:p>
    <w:p w:rsidR="0068460B" w:rsidRDefault="0068460B" w:rsidP="0068460B">
      <w:pPr>
        <w:spacing w:after="0"/>
        <w:rPr>
          <w:rFonts w:ascii="Times New Roman" w:hAnsi="Times New Roman" w:cs="Times New Roman"/>
        </w:rPr>
      </w:pPr>
    </w:p>
    <w:p w:rsidR="0068460B" w:rsidRDefault="0068460B" w:rsidP="0068460B">
      <w:pPr>
        <w:spacing w:after="0"/>
        <w:rPr>
          <w:rFonts w:ascii="Times New Roman" w:hAnsi="Times New Roman" w:cs="Times New Roman"/>
        </w:rPr>
      </w:pPr>
      <w:r w:rsidRPr="0067002D">
        <w:rPr>
          <w:rFonts w:ascii="Times New Roman" w:hAnsi="Times New Roman" w:cs="Times New Roman"/>
        </w:rPr>
        <w:t xml:space="preserve">In de beantwoording dienen de vier perspectieven van de </w:t>
      </w:r>
      <w:proofErr w:type="spellStart"/>
      <w:r w:rsidRPr="0067002D">
        <w:rPr>
          <w:rFonts w:ascii="Times New Roman" w:hAnsi="Times New Roman" w:cs="Times New Roman"/>
        </w:rPr>
        <w:t>balanced</w:t>
      </w:r>
      <w:proofErr w:type="spellEnd"/>
      <w:r w:rsidRPr="0067002D">
        <w:rPr>
          <w:rFonts w:ascii="Times New Roman" w:hAnsi="Times New Roman" w:cs="Times New Roman"/>
        </w:rPr>
        <w:t xml:space="preserve"> scorecard tot uiting te komen. Daarnaast dienen de kritische succesfactoren (met doelwaarde en huidige waarde) te worden gerangschikt naar</w:t>
      </w:r>
      <w:r>
        <w:rPr>
          <w:rFonts w:ascii="Times New Roman" w:hAnsi="Times New Roman" w:cs="Times New Roman"/>
        </w:rPr>
        <w:t xml:space="preserve"> de verschillende perspectieven:</w:t>
      </w:r>
    </w:p>
    <w:p w:rsidR="0068460B" w:rsidRDefault="0068460B" w:rsidP="0068460B">
      <w:pPr>
        <w:pStyle w:val="Lijstalinea"/>
        <w:numPr>
          <w:ilvl w:val="0"/>
          <w:numId w:val="6"/>
        </w:numPr>
        <w:spacing w:after="0"/>
        <w:rPr>
          <w:rFonts w:ascii="Times New Roman" w:hAnsi="Times New Roman" w:cs="Times New Roman"/>
        </w:rPr>
      </w:pPr>
      <w:r>
        <w:rPr>
          <w:rFonts w:ascii="Times New Roman" w:hAnsi="Times New Roman" w:cs="Times New Roman"/>
        </w:rPr>
        <w:t>financieel perspectief;</w:t>
      </w:r>
    </w:p>
    <w:p w:rsidR="0068460B" w:rsidRDefault="0068460B" w:rsidP="0068460B">
      <w:pPr>
        <w:pStyle w:val="Lijstalinea"/>
        <w:numPr>
          <w:ilvl w:val="0"/>
          <w:numId w:val="6"/>
        </w:numPr>
        <w:spacing w:after="0"/>
        <w:rPr>
          <w:rFonts w:ascii="Times New Roman" w:hAnsi="Times New Roman" w:cs="Times New Roman"/>
        </w:rPr>
      </w:pPr>
      <w:r>
        <w:rPr>
          <w:rFonts w:ascii="Times New Roman" w:hAnsi="Times New Roman" w:cs="Times New Roman"/>
        </w:rPr>
        <w:t>perspectief van de klant;</w:t>
      </w:r>
    </w:p>
    <w:p w:rsidR="0068460B" w:rsidRDefault="0068460B" w:rsidP="0068460B">
      <w:pPr>
        <w:pStyle w:val="Lijstalinea"/>
        <w:numPr>
          <w:ilvl w:val="0"/>
          <w:numId w:val="6"/>
        </w:numPr>
        <w:spacing w:after="0"/>
        <w:rPr>
          <w:rFonts w:ascii="Times New Roman" w:hAnsi="Times New Roman" w:cs="Times New Roman"/>
        </w:rPr>
      </w:pPr>
      <w:r>
        <w:rPr>
          <w:rFonts w:ascii="Times New Roman" w:hAnsi="Times New Roman" w:cs="Times New Roman"/>
        </w:rPr>
        <w:t>perspectief innovatie/lerend vermogen;</w:t>
      </w:r>
    </w:p>
    <w:p w:rsidR="0068460B" w:rsidRDefault="0068460B" w:rsidP="0068460B">
      <w:pPr>
        <w:pStyle w:val="Lijstalinea"/>
        <w:numPr>
          <w:ilvl w:val="0"/>
          <w:numId w:val="6"/>
        </w:numPr>
        <w:spacing w:after="0"/>
        <w:rPr>
          <w:rFonts w:ascii="Times New Roman" w:hAnsi="Times New Roman" w:cs="Times New Roman"/>
        </w:rPr>
      </w:pPr>
      <w:r>
        <w:rPr>
          <w:rFonts w:ascii="Times New Roman" w:hAnsi="Times New Roman" w:cs="Times New Roman"/>
        </w:rPr>
        <w:t>perspectief van interne processen.</w:t>
      </w:r>
    </w:p>
    <w:p w:rsidR="0068460B" w:rsidRDefault="0068460B" w:rsidP="0068460B">
      <w:pPr>
        <w:spacing w:after="0"/>
        <w:rPr>
          <w:rFonts w:ascii="Times New Roman" w:hAnsi="Times New Roman" w:cs="Times New Roman"/>
        </w:rPr>
      </w:pPr>
    </w:p>
    <w:tbl>
      <w:tblPr>
        <w:tblStyle w:val="Tabelraster"/>
        <w:tblW w:w="0" w:type="auto"/>
        <w:tblLook w:val="04A0" w:firstRow="1" w:lastRow="0" w:firstColumn="1" w:lastColumn="0" w:noHBand="0" w:noVBand="1"/>
      </w:tblPr>
      <w:tblGrid>
        <w:gridCol w:w="3070"/>
        <w:gridCol w:w="3071"/>
        <w:gridCol w:w="3071"/>
      </w:tblGrid>
      <w:tr w:rsidR="0068460B" w:rsidTr="00025A2D">
        <w:tc>
          <w:tcPr>
            <w:tcW w:w="3070" w:type="dxa"/>
          </w:tcPr>
          <w:p w:rsidR="0068460B" w:rsidRPr="00431C14" w:rsidRDefault="0068460B" w:rsidP="00025A2D">
            <w:pPr>
              <w:rPr>
                <w:rFonts w:ascii="Times New Roman" w:hAnsi="Times New Roman" w:cs="Times New Roman"/>
                <w:b/>
              </w:rPr>
            </w:pPr>
            <w:r>
              <w:rPr>
                <w:rFonts w:ascii="Times New Roman" w:hAnsi="Times New Roman" w:cs="Times New Roman"/>
                <w:b/>
              </w:rPr>
              <w:t>Financieel perspectief</w:t>
            </w:r>
          </w:p>
        </w:tc>
        <w:tc>
          <w:tcPr>
            <w:tcW w:w="3071" w:type="dxa"/>
          </w:tcPr>
          <w:p w:rsidR="0068460B" w:rsidRPr="00431C14" w:rsidRDefault="0068460B" w:rsidP="00025A2D">
            <w:pPr>
              <w:rPr>
                <w:rFonts w:ascii="Times New Roman" w:hAnsi="Times New Roman" w:cs="Times New Roman"/>
                <w:b/>
              </w:rPr>
            </w:pPr>
            <w:r>
              <w:rPr>
                <w:rFonts w:ascii="Times New Roman" w:hAnsi="Times New Roman" w:cs="Times New Roman"/>
                <w:b/>
              </w:rPr>
              <w:t>Doelwaarde</w:t>
            </w:r>
          </w:p>
        </w:tc>
        <w:tc>
          <w:tcPr>
            <w:tcW w:w="3071" w:type="dxa"/>
          </w:tcPr>
          <w:p w:rsidR="0068460B" w:rsidRPr="00431C14" w:rsidRDefault="0068460B" w:rsidP="00025A2D">
            <w:pPr>
              <w:rPr>
                <w:rFonts w:ascii="Times New Roman" w:hAnsi="Times New Roman" w:cs="Times New Roman"/>
                <w:b/>
              </w:rPr>
            </w:pPr>
            <w:r w:rsidRPr="00431C14">
              <w:rPr>
                <w:rFonts w:ascii="Times New Roman" w:hAnsi="Times New Roman" w:cs="Times New Roman"/>
                <w:b/>
              </w:rPr>
              <w:t>Huidige waarde</w:t>
            </w:r>
          </w:p>
        </w:tc>
      </w:tr>
      <w:tr w:rsidR="0068460B" w:rsidTr="00025A2D">
        <w:tc>
          <w:tcPr>
            <w:tcW w:w="3070" w:type="dxa"/>
          </w:tcPr>
          <w:p w:rsidR="0068460B" w:rsidRPr="00431C14" w:rsidRDefault="0068460B" w:rsidP="0068460B">
            <w:pPr>
              <w:pStyle w:val="Lijstalinea"/>
              <w:numPr>
                <w:ilvl w:val="0"/>
                <w:numId w:val="7"/>
              </w:numPr>
              <w:rPr>
                <w:rFonts w:ascii="Times New Roman" w:hAnsi="Times New Roman" w:cs="Times New Roman"/>
              </w:rPr>
            </w:pPr>
            <w:r>
              <w:rPr>
                <w:rFonts w:ascii="Times New Roman" w:hAnsi="Times New Roman" w:cs="Times New Roman"/>
              </w:rPr>
              <w:t>omzet</w:t>
            </w:r>
          </w:p>
        </w:tc>
        <w:tc>
          <w:tcPr>
            <w:tcW w:w="3071" w:type="dxa"/>
          </w:tcPr>
          <w:p w:rsidR="0068460B" w:rsidRPr="00431C14" w:rsidRDefault="0068460B" w:rsidP="00025A2D">
            <w:pPr>
              <w:ind w:left="360"/>
              <w:rPr>
                <w:rFonts w:ascii="Times New Roman" w:hAnsi="Times New Roman" w:cs="Times New Roman"/>
              </w:rPr>
            </w:pPr>
            <w:r>
              <w:rPr>
                <w:rFonts w:ascii="Times New Roman" w:hAnsi="Times New Roman" w:cs="Times New Roman"/>
              </w:rPr>
              <w:t xml:space="preserve">&gt; </w:t>
            </w:r>
            <w:r w:rsidRPr="00431C14">
              <w:rPr>
                <w:rFonts w:ascii="Times New Roman" w:hAnsi="Times New Roman" w:cs="Times New Roman"/>
              </w:rPr>
              <w:t>€ 10,0 miljoen</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€ 10,2 miljoen</w:t>
            </w:r>
          </w:p>
        </w:tc>
      </w:tr>
      <w:tr w:rsidR="0068460B" w:rsidTr="00025A2D">
        <w:tc>
          <w:tcPr>
            <w:tcW w:w="3070" w:type="dxa"/>
          </w:tcPr>
          <w:p w:rsidR="0068460B" w:rsidRPr="00431C14" w:rsidRDefault="0068460B" w:rsidP="0068460B">
            <w:pPr>
              <w:pStyle w:val="Lijstalinea"/>
              <w:numPr>
                <w:ilvl w:val="0"/>
                <w:numId w:val="7"/>
              </w:numPr>
              <w:rPr>
                <w:rFonts w:ascii="Times New Roman" w:hAnsi="Times New Roman" w:cs="Times New Roman"/>
              </w:rPr>
            </w:pPr>
            <w:r>
              <w:rPr>
                <w:rFonts w:ascii="Times New Roman" w:hAnsi="Times New Roman" w:cs="Times New Roman"/>
              </w:rPr>
              <w:t>inkoopwaarde omzet</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 xml:space="preserve">&lt; 40% </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43%</w:t>
            </w:r>
          </w:p>
        </w:tc>
      </w:tr>
      <w:tr w:rsidR="0068460B" w:rsidTr="00025A2D">
        <w:tc>
          <w:tcPr>
            <w:tcW w:w="3070" w:type="dxa"/>
          </w:tcPr>
          <w:p w:rsidR="0068460B" w:rsidRPr="00431C14" w:rsidRDefault="0068460B" w:rsidP="0068460B">
            <w:pPr>
              <w:pStyle w:val="Lijstalinea"/>
              <w:numPr>
                <w:ilvl w:val="0"/>
                <w:numId w:val="7"/>
              </w:numPr>
              <w:rPr>
                <w:rFonts w:ascii="Times New Roman" w:hAnsi="Times New Roman" w:cs="Times New Roman"/>
              </w:rPr>
            </w:pPr>
            <w:r>
              <w:rPr>
                <w:rFonts w:ascii="Times New Roman" w:hAnsi="Times New Roman" w:cs="Times New Roman"/>
              </w:rPr>
              <w:t>salariskosten t.o.v. omzet</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&lt; 20%</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25%</w:t>
            </w:r>
          </w:p>
        </w:tc>
      </w:tr>
      <w:tr w:rsidR="0068460B" w:rsidTr="00025A2D">
        <w:tc>
          <w:tcPr>
            <w:tcW w:w="3070" w:type="dxa"/>
          </w:tcPr>
          <w:p w:rsidR="0068460B" w:rsidRPr="00021656" w:rsidRDefault="0068460B" w:rsidP="00025A2D">
            <w:pPr>
              <w:rPr>
                <w:rFonts w:ascii="Times New Roman" w:hAnsi="Times New Roman" w:cs="Times New Roman"/>
                <w:b/>
              </w:rPr>
            </w:pPr>
            <w:r>
              <w:rPr>
                <w:rFonts w:ascii="Times New Roman" w:hAnsi="Times New Roman" w:cs="Times New Roman"/>
                <w:b/>
              </w:rPr>
              <w:t>Perspectief van de klant</w:t>
            </w:r>
          </w:p>
        </w:tc>
        <w:tc>
          <w:tcPr>
            <w:tcW w:w="3071" w:type="dxa"/>
          </w:tcPr>
          <w:p w:rsidR="0068460B" w:rsidRPr="00021656" w:rsidRDefault="0068460B" w:rsidP="00025A2D">
            <w:pPr>
              <w:rPr>
                <w:rFonts w:ascii="Times New Roman" w:hAnsi="Times New Roman" w:cs="Times New Roman"/>
                <w:b/>
              </w:rPr>
            </w:pPr>
            <w:r w:rsidRPr="00021656">
              <w:rPr>
                <w:rFonts w:ascii="Times New Roman" w:hAnsi="Times New Roman" w:cs="Times New Roman"/>
                <w:b/>
              </w:rPr>
              <w:t>Doelwaarde</w:t>
            </w:r>
          </w:p>
        </w:tc>
        <w:tc>
          <w:tcPr>
            <w:tcW w:w="3071" w:type="dxa"/>
          </w:tcPr>
          <w:p w:rsidR="0068460B" w:rsidRPr="00021656" w:rsidRDefault="0068460B" w:rsidP="00025A2D">
            <w:pPr>
              <w:rPr>
                <w:rFonts w:ascii="Times New Roman" w:hAnsi="Times New Roman" w:cs="Times New Roman"/>
                <w:b/>
              </w:rPr>
            </w:pPr>
            <w:r>
              <w:rPr>
                <w:rFonts w:ascii="Times New Roman" w:hAnsi="Times New Roman" w:cs="Times New Roman"/>
                <w:b/>
              </w:rPr>
              <w:t>Huidige waarde</w:t>
            </w:r>
          </w:p>
        </w:tc>
      </w:tr>
      <w:tr w:rsidR="0068460B" w:rsidTr="00025A2D">
        <w:tc>
          <w:tcPr>
            <w:tcW w:w="3070" w:type="dxa"/>
          </w:tcPr>
          <w:p w:rsidR="0068460B" w:rsidRPr="00EE243F" w:rsidRDefault="0068460B" w:rsidP="0068460B">
            <w:pPr>
              <w:pStyle w:val="Lijstalinea"/>
              <w:numPr>
                <w:ilvl w:val="0"/>
                <w:numId w:val="7"/>
              </w:numPr>
              <w:rPr>
                <w:rFonts w:ascii="Times New Roman" w:hAnsi="Times New Roman" w:cs="Times New Roman"/>
              </w:rPr>
            </w:pPr>
            <w:r>
              <w:rPr>
                <w:rFonts w:ascii="Times New Roman" w:hAnsi="Times New Roman" w:cs="Times New Roman"/>
              </w:rPr>
              <w:t>aantal klachten</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&lt; 10</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23</w:t>
            </w:r>
          </w:p>
        </w:tc>
      </w:tr>
      <w:tr w:rsidR="0068460B" w:rsidTr="00025A2D">
        <w:tc>
          <w:tcPr>
            <w:tcW w:w="3070" w:type="dxa"/>
          </w:tcPr>
          <w:p w:rsidR="0068460B" w:rsidRPr="00EE243F" w:rsidRDefault="0068460B" w:rsidP="0068460B">
            <w:pPr>
              <w:pStyle w:val="Lijstalinea"/>
              <w:numPr>
                <w:ilvl w:val="0"/>
                <w:numId w:val="7"/>
              </w:numPr>
              <w:rPr>
                <w:rFonts w:ascii="Times New Roman" w:hAnsi="Times New Roman" w:cs="Times New Roman"/>
              </w:rPr>
            </w:pPr>
            <w:r>
              <w:rPr>
                <w:rFonts w:ascii="Times New Roman" w:hAnsi="Times New Roman" w:cs="Times New Roman"/>
              </w:rPr>
              <w:t>klanttevredenheid</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&gt; 98%</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93%</w:t>
            </w:r>
          </w:p>
        </w:tc>
      </w:tr>
      <w:tr w:rsidR="0068460B" w:rsidTr="00025A2D">
        <w:tc>
          <w:tcPr>
            <w:tcW w:w="3070" w:type="dxa"/>
          </w:tcPr>
          <w:p w:rsidR="0068460B" w:rsidRPr="00EE243F" w:rsidRDefault="0068460B" w:rsidP="0068460B">
            <w:pPr>
              <w:pStyle w:val="Lijstalinea"/>
              <w:numPr>
                <w:ilvl w:val="0"/>
                <w:numId w:val="7"/>
              </w:numPr>
              <w:rPr>
                <w:rFonts w:ascii="Times New Roman" w:hAnsi="Times New Roman" w:cs="Times New Roman"/>
              </w:rPr>
            </w:pPr>
            <w:r>
              <w:rPr>
                <w:rFonts w:ascii="Times New Roman" w:hAnsi="Times New Roman" w:cs="Times New Roman"/>
              </w:rPr>
              <w:t xml:space="preserve">aantal </w:t>
            </w:r>
            <w:proofErr w:type="spellStart"/>
            <w:r>
              <w:rPr>
                <w:rFonts w:ascii="Times New Roman" w:hAnsi="Times New Roman" w:cs="Times New Roman"/>
              </w:rPr>
              <w:t>retouren</w:t>
            </w:r>
            <w:proofErr w:type="spellEnd"/>
          </w:p>
        </w:tc>
        <w:tc>
          <w:tcPr>
            <w:tcW w:w="3071" w:type="dxa"/>
          </w:tcPr>
          <w:p w:rsidR="0068460B" w:rsidRDefault="0068460B" w:rsidP="00025A2D">
            <w:pPr>
              <w:rPr>
                <w:rFonts w:ascii="Times New Roman" w:hAnsi="Times New Roman" w:cs="Times New Roman"/>
              </w:rPr>
            </w:pPr>
            <w:r>
              <w:rPr>
                <w:rFonts w:ascii="Times New Roman" w:hAnsi="Times New Roman" w:cs="Times New Roman"/>
              </w:rPr>
              <w:t>&lt; 20</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45</w:t>
            </w:r>
          </w:p>
        </w:tc>
      </w:tr>
      <w:tr w:rsidR="0068460B" w:rsidTr="00025A2D">
        <w:tc>
          <w:tcPr>
            <w:tcW w:w="3070" w:type="dxa"/>
          </w:tcPr>
          <w:p w:rsidR="0068460B" w:rsidRPr="00EE243F" w:rsidRDefault="0068460B" w:rsidP="00025A2D">
            <w:pPr>
              <w:rPr>
                <w:rFonts w:ascii="Times New Roman" w:hAnsi="Times New Roman" w:cs="Times New Roman"/>
                <w:b/>
              </w:rPr>
            </w:pPr>
            <w:r>
              <w:rPr>
                <w:rFonts w:ascii="Times New Roman" w:hAnsi="Times New Roman" w:cs="Times New Roman"/>
                <w:b/>
              </w:rPr>
              <w:t>Perspectief innovatie/lerend vermogen</w:t>
            </w:r>
          </w:p>
        </w:tc>
        <w:tc>
          <w:tcPr>
            <w:tcW w:w="3071" w:type="dxa"/>
          </w:tcPr>
          <w:p w:rsidR="0068460B" w:rsidRPr="00EE243F" w:rsidRDefault="0068460B" w:rsidP="00025A2D">
            <w:pPr>
              <w:rPr>
                <w:rFonts w:ascii="Times New Roman" w:hAnsi="Times New Roman" w:cs="Times New Roman"/>
                <w:b/>
              </w:rPr>
            </w:pPr>
            <w:r w:rsidRPr="00EE243F">
              <w:rPr>
                <w:rFonts w:ascii="Times New Roman" w:hAnsi="Times New Roman" w:cs="Times New Roman"/>
                <w:b/>
              </w:rPr>
              <w:t>Doelwaarde</w:t>
            </w:r>
          </w:p>
        </w:tc>
        <w:tc>
          <w:tcPr>
            <w:tcW w:w="3071" w:type="dxa"/>
          </w:tcPr>
          <w:p w:rsidR="0068460B" w:rsidRPr="00EE243F" w:rsidRDefault="0068460B" w:rsidP="00025A2D">
            <w:pPr>
              <w:rPr>
                <w:rFonts w:ascii="Times New Roman" w:hAnsi="Times New Roman" w:cs="Times New Roman"/>
                <w:b/>
              </w:rPr>
            </w:pPr>
            <w:r>
              <w:rPr>
                <w:rFonts w:ascii="Times New Roman" w:hAnsi="Times New Roman" w:cs="Times New Roman"/>
                <w:b/>
              </w:rPr>
              <w:t>Huidige waarde</w:t>
            </w:r>
          </w:p>
        </w:tc>
      </w:tr>
      <w:tr w:rsidR="0068460B" w:rsidTr="00025A2D">
        <w:tc>
          <w:tcPr>
            <w:tcW w:w="3070" w:type="dxa"/>
          </w:tcPr>
          <w:p w:rsidR="0068460B" w:rsidRPr="00E07F85" w:rsidRDefault="0068460B" w:rsidP="0068460B">
            <w:pPr>
              <w:pStyle w:val="Lijstalinea"/>
              <w:numPr>
                <w:ilvl w:val="0"/>
                <w:numId w:val="7"/>
              </w:numPr>
              <w:rPr>
                <w:rFonts w:ascii="Times New Roman" w:hAnsi="Times New Roman" w:cs="Times New Roman"/>
              </w:rPr>
            </w:pPr>
            <w:r>
              <w:rPr>
                <w:rFonts w:ascii="Times New Roman" w:hAnsi="Times New Roman" w:cs="Times New Roman"/>
              </w:rPr>
              <w:t>tijd besteed aan opleiding</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&gt; 5 dagen</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2 dagen</w:t>
            </w:r>
          </w:p>
        </w:tc>
      </w:tr>
      <w:tr w:rsidR="0068460B" w:rsidTr="00025A2D">
        <w:tc>
          <w:tcPr>
            <w:tcW w:w="3070" w:type="dxa"/>
          </w:tcPr>
          <w:p w:rsidR="0068460B" w:rsidRPr="00E07F85" w:rsidRDefault="0068460B" w:rsidP="0068460B">
            <w:pPr>
              <w:pStyle w:val="Lijstalinea"/>
              <w:numPr>
                <w:ilvl w:val="0"/>
                <w:numId w:val="7"/>
              </w:numPr>
              <w:rPr>
                <w:rFonts w:ascii="Times New Roman" w:hAnsi="Times New Roman" w:cs="Times New Roman"/>
              </w:rPr>
            </w:pPr>
            <w:r>
              <w:rPr>
                <w:rFonts w:ascii="Times New Roman" w:hAnsi="Times New Roman" w:cs="Times New Roman"/>
              </w:rPr>
              <w:t>aantal nieuwe producten</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&gt; 4</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3</w:t>
            </w:r>
          </w:p>
        </w:tc>
      </w:tr>
      <w:tr w:rsidR="0068460B" w:rsidTr="00025A2D">
        <w:tc>
          <w:tcPr>
            <w:tcW w:w="3070" w:type="dxa"/>
          </w:tcPr>
          <w:p w:rsidR="0068460B" w:rsidRPr="00BF4CB9" w:rsidRDefault="0068460B" w:rsidP="00025A2D">
            <w:pPr>
              <w:rPr>
                <w:rFonts w:ascii="Times New Roman" w:hAnsi="Times New Roman" w:cs="Times New Roman"/>
                <w:b/>
              </w:rPr>
            </w:pPr>
            <w:r>
              <w:rPr>
                <w:rFonts w:ascii="Times New Roman" w:hAnsi="Times New Roman" w:cs="Times New Roman"/>
                <w:b/>
              </w:rPr>
              <w:t>Perspectief van interne processen</w:t>
            </w:r>
          </w:p>
        </w:tc>
        <w:tc>
          <w:tcPr>
            <w:tcW w:w="3071" w:type="dxa"/>
          </w:tcPr>
          <w:p w:rsidR="0068460B" w:rsidRPr="00BF4CB9" w:rsidRDefault="0068460B" w:rsidP="00025A2D">
            <w:pPr>
              <w:rPr>
                <w:rFonts w:ascii="Times New Roman" w:hAnsi="Times New Roman" w:cs="Times New Roman"/>
                <w:b/>
              </w:rPr>
            </w:pPr>
            <w:r>
              <w:rPr>
                <w:rFonts w:ascii="Times New Roman" w:hAnsi="Times New Roman" w:cs="Times New Roman"/>
                <w:b/>
              </w:rPr>
              <w:t>Doelwaarde</w:t>
            </w:r>
          </w:p>
        </w:tc>
        <w:tc>
          <w:tcPr>
            <w:tcW w:w="3071" w:type="dxa"/>
          </w:tcPr>
          <w:p w:rsidR="0068460B" w:rsidRPr="00BF4CB9" w:rsidRDefault="0068460B" w:rsidP="00025A2D">
            <w:pPr>
              <w:rPr>
                <w:rFonts w:ascii="Times New Roman" w:hAnsi="Times New Roman" w:cs="Times New Roman"/>
                <w:b/>
              </w:rPr>
            </w:pPr>
            <w:r>
              <w:rPr>
                <w:rFonts w:ascii="Times New Roman" w:hAnsi="Times New Roman" w:cs="Times New Roman"/>
                <w:b/>
              </w:rPr>
              <w:t>Huidige waarde</w:t>
            </w:r>
          </w:p>
        </w:tc>
      </w:tr>
      <w:tr w:rsidR="0068460B" w:rsidTr="00025A2D">
        <w:tc>
          <w:tcPr>
            <w:tcW w:w="3070" w:type="dxa"/>
          </w:tcPr>
          <w:p w:rsidR="0068460B" w:rsidRPr="00BF4CB9" w:rsidRDefault="0068460B" w:rsidP="0068460B">
            <w:pPr>
              <w:pStyle w:val="Lijstalinea"/>
              <w:numPr>
                <w:ilvl w:val="0"/>
                <w:numId w:val="7"/>
              </w:numPr>
              <w:rPr>
                <w:rFonts w:ascii="Times New Roman" w:hAnsi="Times New Roman" w:cs="Times New Roman"/>
              </w:rPr>
            </w:pPr>
            <w:r>
              <w:rPr>
                <w:rFonts w:ascii="Times New Roman" w:hAnsi="Times New Roman" w:cs="Times New Roman"/>
              </w:rPr>
              <w:t>ziekteverzuim</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&lt; 5,0%</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6,4%</w:t>
            </w:r>
          </w:p>
        </w:tc>
      </w:tr>
      <w:tr w:rsidR="0068460B" w:rsidTr="00025A2D">
        <w:tc>
          <w:tcPr>
            <w:tcW w:w="3070" w:type="dxa"/>
          </w:tcPr>
          <w:p w:rsidR="0068460B" w:rsidRPr="00B47B1C" w:rsidRDefault="0068460B" w:rsidP="0068460B">
            <w:pPr>
              <w:pStyle w:val="Lijstalinea"/>
              <w:numPr>
                <w:ilvl w:val="0"/>
                <w:numId w:val="7"/>
              </w:numPr>
              <w:rPr>
                <w:rFonts w:ascii="Times New Roman" w:hAnsi="Times New Roman" w:cs="Times New Roman"/>
              </w:rPr>
            </w:pPr>
            <w:r>
              <w:rPr>
                <w:rFonts w:ascii="Times New Roman" w:hAnsi="Times New Roman" w:cs="Times New Roman"/>
              </w:rPr>
              <w:t>R&amp;D-projecten binnen planning</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&gt; 90%</w:t>
            </w:r>
          </w:p>
        </w:tc>
        <w:tc>
          <w:tcPr>
            <w:tcW w:w="3071" w:type="dxa"/>
          </w:tcPr>
          <w:p w:rsidR="0068460B" w:rsidRDefault="0068460B" w:rsidP="00025A2D">
            <w:pPr>
              <w:rPr>
                <w:rFonts w:ascii="Times New Roman" w:hAnsi="Times New Roman" w:cs="Times New Roman"/>
              </w:rPr>
            </w:pPr>
            <w:r>
              <w:rPr>
                <w:rFonts w:ascii="Times New Roman" w:hAnsi="Times New Roman" w:cs="Times New Roman"/>
              </w:rPr>
              <w:t>65%</w:t>
            </w:r>
          </w:p>
        </w:tc>
      </w:tr>
    </w:tbl>
    <w:p w:rsidR="0068460B" w:rsidRPr="0067002D" w:rsidRDefault="0068460B" w:rsidP="0068460B">
      <w:pPr>
        <w:spacing w:after="0"/>
        <w:rPr>
          <w:rFonts w:ascii="Times New Roman" w:hAnsi="Times New Roman" w:cs="Times New Roman"/>
        </w:rPr>
      </w:pPr>
    </w:p>
    <w:p w:rsidR="00C2003E" w:rsidRDefault="00C2003E" w:rsidP="00DA7C29">
      <w:pPr>
        <w:spacing w:after="0"/>
        <w:rPr>
          <w:rFonts w:ascii="Times New Roman" w:hAnsi="Times New Roman" w:cs="Times New Roman"/>
        </w:rPr>
      </w:pPr>
    </w:p>
    <w:p w:rsidR="00726A9F" w:rsidRDefault="00726A9F" w:rsidP="00DA7C29">
      <w:pPr>
        <w:spacing w:after="0"/>
        <w:rPr>
          <w:rFonts w:ascii="Times New Roman" w:hAnsi="Times New Roman" w:cs="Times New Roman"/>
        </w:rPr>
      </w:pPr>
    </w:p>
    <w:p w:rsidR="00507DAB" w:rsidRPr="00DA7C29" w:rsidRDefault="00507DAB" w:rsidP="00DA7C29">
      <w:pPr>
        <w:spacing w:after="0"/>
        <w:rPr>
          <w:rFonts w:ascii="Times New Roman" w:hAnsi="Times New Roman" w:cs="Times New Roman"/>
        </w:rPr>
      </w:pPr>
      <w:bookmarkStart w:id="0" w:name="_GoBack"/>
      <w:bookmarkEnd w:id="0"/>
    </w:p>
    <w:sectPr w:rsidR="00507DAB" w:rsidRPr="00DA7C29"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FD3165D"/>
    <w:multiLevelType w:val="hybridMultilevel"/>
    <w:tmpl w:val="5B60DC6E"/>
    <w:lvl w:ilvl="0" w:tplc="75E2E90E">
      <w:start w:val="3"/>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667F46"/>
    <w:multiLevelType w:val="hybridMultilevel"/>
    <w:tmpl w:val="EF1C971A"/>
    <w:lvl w:ilvl="0" w:tplc="1C94B8E0">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1480A"/>
    <w:rsid w:val="000303D9"/>
    <w:rsid w:val="000312FA"/>
    <w:rsid w:val="000325F9"/>
    <w:rsid w:val="000333E0"/>
    <w:rsid w:val="00040EA9"/>
    <w:rsid w:val="00041C3C"/>
    <w:rsid w:val="00045858"/>
    <w:rsid w:val="00055B72"/>
    <w:rsid w:val="00064260"/>
    <w:rsid w:val="00075946"/>
    <w:rsid w:val="00082E99"/>
    <w:rsid w:val="0009514E"/>
    <w:rsid w:val="000A0A7C"/>
    <w:rsid w:val="000A39D7"/>
    <w:rsid w:val="000C4DF2"/>
    <w:rsid w:val="000E4F18"/>
    <w:rsid w:val="000E763A"/>
    <w:rsid w:val="000F1E06"/>
    <w:rsid w:val="000F48F2"/>
    <w:rsid w:val="0010447C"/>
    <w:rsid w:val="00126CA8"/>
    <w:rsid w:val="00133ECA"/>
    <w:rsid w:val="00141AA1"/>
    <w:rsid w:val="00142E01"/>
    <w:rsid w:val="00144E7A"/>
    <w:rsid w:val="00151906"/>
    <w:rsid w:val="00156A5F"/>
    <w:rsid w:val="0016267D"/>
    <w:rsid w:val="00164702"/>
    <w:rsid w:val="00167063"/>
    <w:rsid w:val="00180B5F"/>
    <w:rsid w:val="001934E0"/>
    <w:rsid w:val="001A4D54"/>
    <w:rsid w:val="001B0D0C"/>
    <w:rsid w:val="001D17E0"/>
    <w:rsid w:val="001E6453"/>
    <w:rsid w:val="001E6E93"/>
    <w:rsid w:val="001F513F"/>
    <w:rsid w:val="00205466"/>
    <w:rsid w:val="002101F3"/>
    <w:rsid w:val="00212409"/>
    <w:rsid w:val="00221F8B"/>
    <w:rsid w:val="002258A8"/>
    <w:rsid w:val="00235E72"/>
    <w:rsid w:val="00237990"/>
    <w:rsid w:val="00256D07"/>
    <w:rsid w:val="00261C5B"/>
    <w:rsid w:val="00286567"/>
    <w:rsid w:val="0029333C"/>
    <w:rsid w:val="002A32D0"/>
    <w:rsid w:val="002C3C6F"/>
    <w:rsid w:val="002C4B77"/>
    <w:rsid w:val="002D36A5"/>
    <w:rsid w:val="002D4112"/>
    <w:rsid w:val="00300AAD"/>
    <w:rsid w:val="003035D1"/>
    <w:rsid w:val="00305B0C"/>
    <w:rsid w:val="003131FE"/>
    <w:rsid w:val="00325A90"/>
    <w:rsid w:val="003270C2"/>
    <w:rsid w:val="00335D30"/>
    <w:rsid w:val="003376F1"/>
    <w:rsid w:val="00340410"/>
    <w:rsid w:val="00341995"/>
    <w:rsid w:val="00350A07"/>
    <w:rsid w:val="003512C4"/>
    <w:rsid w:val="00351DCB"/>
    <w:rsid w:val="003532B9"/>
    <w:rsid w:val="0036625E"/>
    <w:rsid w:val="00381845"/>
    <w:rsid w:val="003A06F7"/>
    <w:rsid w:val="003A527B"/>
    <w:rsid w:val="003A66C1"/>
    <w:rsid w:val="003B30DC"/>
    <w:rsid w:val="003C46D9"/>
    <w:rsid w:val="003C5687"/>
    <w:rsid w:val="003D3718"/>
    <w:rsid w:val="003D5DD4"/>
    <w:rsid w:val="003D6B27"/>
    <w:rsid w:val="003F0515"/>
    <w:rsid w:val="003F7C56"/>
    <w:rsid w:val="00400F49"/>
    <w:rsid w:val="004330D1"/>
    <w:rsid w:val="00441719"/>
    <w:rsid w:val="00441EB5"/>
    <w:rsid w:val="00443F71"/>
    <w:rsid w:val="004A11AE"/>
    <w:rsid w:val="004B060D"/>
    <w:rsid w:val="004B0DAB"/>
    <w:rsid w:val="004B14A9"/>
    <w:rsid w:val="004C4922"/>
    <w:rsid w:val="004C4E80"/>
    <w:rsid w:val="004D500C"/>
    <w:rsid w:val="004F0C77"/>
    <w:rsid w:val="004F123E"/>
    <w:rsid w:val="004F304B"/>
    <w:rsid w:val="00507DAB"/>
    <w:rsid w:val="00512010"/>
    <w:rsid w:val="00513D90"/>
    <w:rsid w:val="0051641E"/>
    <w:rsid w:val="00522545"/>
    <w:rsid w:val="00534FFA"/>
    <w:rsid w:val="00545DBA"/>
    <w:rsid w:val="00555F8F"/>
    <w:rsid w:val="00567E7D"/>
    <w:rsid w:val="005728A9"/>
    <w:rsid w:val="00572957"/>
    <w:rsid w:val="005740CE"/>
    <w:rsid w:val="0057562C"/>
    <w:rsid w:val="00582011"/>
    <w:rsid w:val="00587736"/>
    <w:rsid w:val="005A338C"/>
    <w:rsid w:val="005B2EEA"/>
    <w:rsid w:val="005D7DFF"/>
    <w:rsid w:val="005D7ED0"/>
    <w:rsid w:val="005F2C5B"/>
    <w:rsid w:val="005F4C21"/>
    <w:rsid w:val="00614A35"/>
    <w:rsid w:val="00644E70"/>
    <w:rsid w:val="00652458"/>
    <w:rsid w:val="00657CFA"/>
    <w:rsid w:val="00661F2F"/>
    <w:rsid w:val="006662A2"/>
    <w:rsid w:val="0066714A"/>
    <w:rsid w:val="00674A7B"/>
    <w:rsid w:val="0068165B"/>
    <w:rsid w:val="0068460B"/>
    <w:rsid w:val="0068577D"/>
    <w:rsid w:val="006945CB"/>
    <w:rsid w:val="006C2BAD"/>
    <w:rsid w:val="006D5201"/>
    <w:rsid w:val="006E2D53"/>
    <w:rsid w:val="006F4061"/>
    <w:rsid w:val="006F77C5"/>
    <w:rsid w:val="007000B2"/>
    <w:rsid w:val="007002CE"/>
    <w:rsid w:val="00706D57"/>
    <w:rsid w:val="00707488"/>
    <w:rsid w:val="007156CC"/>
    <w:rsid w:val="00726A9F"/>
    <w:rsid w:val="00731089"/>
    <w:rsid w:val="00731A74"/>
    <w:rsid w:val="00732CB8"/>
    <w:rsid w:val="00747725"/>
    <w:rsid w:val="007579EB"/>
    <w:rsid w:val="00781523"/>
    <w:rsid w:val="00781ED3"/>
    <w:rsid w:val="007B7EB4"/>
    <w:rsid w:val="007F1009"/>
    <w:rsid w:val="00822496"/>
    <w:rsid w:val="00822737"/>
    <w:rsid w:val="008266BB"/>
    <w:rsid w:val="008363A3"/>
    <w:rsid w:val="00851887"/>
    <w:rsid w:val="00851B38"/>
    <w:rsid w:val="00861B5D"/>
    <w:rsid w:val="0087627A"/>
    <w:rsid w:val="0088426F"/>
    <w:rsid w:val="008906E5"/>
    <w:rsid w:val="00893E5D"/>
    <w:rsid w:val="008A6CD6"/>
    <w:rsid w:val="008D6694"/>
    <w:rsid w:val="008E1616"/>
    <w:rsid w:val="00901D96"/>
    <w:rsid w:val="00902073"/>
    <w:rsid w:val="0090584F"/>
    <w:rsid w:val="00914368"/>
    <w:rsid w:val="0091601A"/>
    <w:rsid w:val="00923916"/>
    <w:rsid w:val="00924D35"/>
    <w:rsid w:val="00927AA2"/>
    <w:rsid w:val="0094000C"/>
    <w:rsid w:val="00952E99"/>
    <w:rsid w:val="00957478"/>
    <w:rsid w:val="00962CCA"/>
    <w:rsid w:val="00971602"/>
    <w:rsid w:val="009716D8"/>
    <w:rsid w:val="00971B9D"/>
    <w:rsid w:val="009746AF"/>
    <w:rsid w:val="00981644"/>
    <w:rsid w:val="00987E7A"/>
    <w:rsid w:val="009B0178"/>
    <w:rsid w:val="009D2CDF"/>
    <w:rsid w:val="009F090F"/>
    <w:rsid w:val="00A30C8E"/>
    <w:rsid w:val="00A36A0C"/>
    <w:rsid w:val="00A47CCA"/>
    <w:rsid w:val="00A51676"/>
    <w:rsid w:val="00A53878"/>
    <w:rsid w:val="00A60927"/>
    <w:rsid w:val="00A61C2E"/>
    <w:rsid w:val="00A65617"/>
    <w:rsid w:val="00A70515"/>
    <w:rsid w:val="00A744AA"/>
    <w:rsid w:val="00A800F3"/>
    <w:rsid w:val="00A81587"/>
    <w:rsid w:val="00A957E7"/>
    <w:rsid w:val="00AA7AF8"/>
    <w:rsid w:val="00AB6AD5"/>
    <w:rsid w:val="00AC27ED"/>
    <w:rsid w:val="00AC7ECF"/>
    <w:rsid w:val="00AD0E07"/>
    <w:rsid w:val="00AD298D"/>
    <w:rsid w:val="00AE4112"/>
    <w:rsid w:val="00AE4233"/>
    <w:rsid w:val="00AE7ED9"/>
    <w:rsid w:val="00AF35F1"/>
    <w:rsid w:val="00B21A67"/>
    <w:rsid w:val="00B31499"/>
    <w:rsid w:val="00B35E80"/>
    <w:rsid w:val="00B43DE5"/>
    <w:rsid w:val="00B66899"/>
    <w:rsid w:val="00B7549A"/>
    <w:rsid w:val="00B83FAB"/>
    <w:rsid w:val="00B845B4"/>
    <w:rsid w:val="00B87F02"/>
    <w:rsid w:val="00B90C8F"/>
    <w:rsid w:val="00BA1DC0"/>
    <w:rsid w:val="00BA47F6"/>
    <w:rsid w:val="00BA6697"/>
    <w:rsid w:val="00BB1AF0"/>
    <w:rsid w:val="00BB3D07"/>
    <w:rsid w:val="00BC1C61"/>
    <w:rsid w:val="00BD2B04"/>
    <w:rsid w:val="00BF4F29"/>
    <w:rsid w:val="00C0753C"/>
    <w:rsid w:val="00C148DF"/>
    <w:rsid w:val="00C2003E"/>
    <w:rsid w:val="00C32867"/>
    <w:rsid w:val="00C511EC"/>
    <w:rsid w:val="00C55D91"/>
    <w:rsid w:val="00C56E5E"/>
    <w:rsid w:val="00C71B1D"/>
    <w:rsid w:val="00C73BE2"/>
    <w:rsid w:val="00C8432D"/>
    <w:rsid w:val="00CC61F1"/>
    <w:rsid w:val="00CE7070"/>
    <w:rsid w:val="00CE7E10"/>
    <w:rsid w:val="00D062EA"/>
    <w:rsid w:val="00D06BB7"/>
    <w:rsid w:val="00D16710"/>
    <w:rsid w:val="00D17902"/>
    <w:rsid w:val="00D419A0"/>
    <w:rsid w:val="00D526FF"/>
    <w:rsid w:val="00D52E0B"/>
    <w:rsid w:val="00D538CB"/>
    <w:rsid w:val="00D772F5"/>
    <w:rsid w:val="00D77A9F"/>
    <w:rsid w:val="00DA4CA3"/>
    <w:rsid w:val="00DA7C29"/>
    <w:rsid w:val="00DB04C4"/>
    <w:rsid w:val="00DC474D"/>
    <w:rsid w:val="00DD0CD6"/>
    <w:rsid w:val="00DD7F02"/>
    <w:rsid w:val="00DE10BB"/>
    <w:rsid w:val="00DE1512"/>
    <w:rsid w:val="00DF5448"/>
    <w:rsid w:val="00E10C16"/>
    <w:rsid w:val="00E25B65"/>
    <w:rsid w:val="00E25BE8"/>
    <w:rsid w:val="00E31ED2"/>
    <w:rsid w:val="00E3334B"/>
    <w:rsid w:val="00E33980"/>
    <w:rsid w:val="00E528A5"/>
    <w:rsid w:val="00E541B6"/>
    <w:rsid w:val="00E84BE6"/>
    <w:rsid w:val="00EA7C95"/>
    <w:rsid w:val="00ED75B5"/>
    <w:rsid w:val="00EE3A53"/>
    <w:rsid w:val="00EE544D"/>
    <w:rsid w:val="00EF26BE"/>
    <w:rsid w:val="00EF7EA8"/>
    <w:rsid w:val="00F1497D"/>
    <w:rsid w:val="00F22D49"/>
    <w:rsid w:val="00F304E7"/>
    <w:rsid w:val="00F3466A"/>
    <w:rsid w:val="00F44676"/>
    <w:rsid w:val="00F44A35"/>
    <w:rsid w:val="00F47AA6"/>
    <w:rsid w:val="00F53712"/>
    <w:rsid w:val="00F5665F"/>
    <w:rsid w:val="00F65786"/>
    <w:rsid w:val="00FA26C1"/>
    <w:rsid w:val="00FA4A33"/>
    <w:rsid w:val="00FC2822"/>
    <w:rsid w:val="00FD243C"/>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7E128-2546-455A-84E1-2066893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927</Words>
  <Characters>5103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28</cp:revision>
  <dcterms:created xsi:type="dcterms:W3CDTF">2010-04-21T13:52:00Z</dcterms:created>
  <dcterms:modified xsi:type="dcterms:W3CDTF">2016-05-08T13:54:00Z</dcterms:modified>
</cp:coreProperties>
</file>