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DA" w:rsidRPr="001C679B" w:rsidRDefault="00FF2ADA" w:rsidP="00FF2ADA">
      <w:pPr>
        <w:spacing w:before="100" w:beforeAutospacing="1" w:after="100" w:afterAutospacing="1"/>
      </w:pPr>
      <w:r>
        <w:rPr>
          <w:b/>
          <w:szCs w:val="22"/>
        </w:rPr>
        <w:t xml:space="preserve">9. </w:t>
      </w:r>
      <w:r>
        <w:rPr>
          <w:b/>
          <w:szCs w:val="22"/>
        </w:rPr>
        <w:tab/>
        <w:t>Tabellen en heffingskortingen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moeten handmatig worden verwerkt. Veel salarispakketten hebben hiervoor een aanklikmogelijkheid.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ouderenkorting is bestemd voor personen in de AOW-leeftijd. Om hier recht op te hebben, moet het loon beneden € 35.949 liggen (2016). Bij een hoger loon is de ouderenkorting slechts € 70.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(pensioen)instantie willen toepassen, dan moet hij aan elke inhoudingsplichtige een Opgaaf gegevens voor de loonheffingen zenden met daarop zijn keuze.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loonheffingen te hebben geclaimd (het mag wel). Maar de inhoudingsplichtige moet bij de loonadministratie een verklaring van UWV bewaren waaruit blijkt dat de werknemer recht heeft op de jonggehandicaptenkorting.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Als Vincent fulltimer is, moet op deze dagen de dagtabel worden toegepast. Als Vincent niet op alle dagen van de week werkt, wordt hij als parttimer beschouwd. Dan moet voor deze dagen de maandtabel worden gehanteerd.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herrekenmethode, waarbij op kwartaalbasis de loonheffing wordt berekend inclusief provisie en exclusief provisie. Het verschil in loonheffing moet op de provisie worden ingehouden en afgedragen. Dit via de reguliere periodetabel.</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bij eenmalige beloningen of beloningen die slechts eenmaal per jaar worden toegekend;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b. bij overwerkloon en beloningen over een ander tijdvak;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c. bij niet-opgenomen vakantiedagen van uitzendkrachten.</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9.3</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lastRenderedPageBreak/>
        <w:tab/>
        <w:t xml:space="preserve">- het verschil in leeftijdsgroepen;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het al dan niet toepassen van de heffingskortingen en/of de werkbonus.</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(Indien dit bij beide inhoudingsplichtigen gebeurt, wordt er te weinig loonheffing ingehouden en afgedragen).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Er zijn witte en groene tabellen voor bijzondere beloningen.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Op bijzondere beloningen mocht de werkgever altijd de tabel voor bijzondere beloningen toepassen, ook als dit tot een hogere loonheffing leidde. Ingaande 2016 is de voordeelregel niet meer toegestaan, maar is de tabel voor bijzondere beloningen verplicht.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U moet altijd het naast lagere bedrag in de tabel nemen, in dit geval € 1.850.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Bij 34 jaar is deze € 2.242 en bij een AOW-gerechtigde: € 1.145 (2016).</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 tabel voor bijzondere beloningen moet gehanteerd worden. Ingaande 2016 is ook de zogenaamde voordeelregel vervallen, die inhield dat vakantiebijslag via de periodetabel mocht worden belast als dat voor de werknemer een voordeel opleverde.</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9.6</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witte tabellen zijn voor inkomsten uit tegenwoordige dienstbetrekking.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Dit geldt niet voor de jonggehandicaptenkorting en de levensloopverlofkorting.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9.7</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inhoudingsplichtige mag alleen de loonheffingskorting toepassen als de werknemer daar schriftelijk om heeft verzocht, vaak via de Opgaaf gegevens voor de loonheffingen. Aangezien Isma geen recht heeft op loonheffingskorting, zal werkgever vof Nutra een dergelijk verzoek niet hebben gekregen. Ook kan Isma expliciet hebben aangegeven dat de loonheffingskorting niet moet worden toegepast. Meestal is dit aan de orde als een werknemer de loonheffingskorting bij een andere werkgever laat toepassen.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maandloon van € 3.000 en geen recht op loonheffingskorting is € 1.144,08 verschuldigd aan loonbelasting/premie volksverzekeringen. Dit wordt in de witte maandtabel afgelezen bij het naast lagere loonbedrag van € 2.997,00.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Dan bestaat recht op € 374,19 aan loonheffingskorting, namelijk: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algemene heffingskorting maximaal € 2.242 : 12 = € 186,83 per maand (tabel 2a); afbouw </w:t>
      </w:r>
      <w:r>
        <w:rPr>
          <w:rFonts w:ascii="Times New Roman" w:hAnsi="Times New Roman"/>
          <w:sz w:val="22"/>
          <w:szCs w:val="22"/>
        </w:rPr>
        <w:tab/>
        <w:t xml:space="preserve">alg. heffingskorting 4,822% van (12 x € 3.000 -/- € 19.992) = € 755,28, dat is € 64,61 per </w:t>
      </w:r>
      <w:r>
        <w:rPr>
          <w:rFonts w:ascii="Times New Roman" w:hAnsi="Times New Roman"/>
          <w:sz w:val="22"/>
          <w:szCs w:val="22"/>
        </w:rPr>
        <w:tab/>
        <w:t xml:space="preserve">maand; </w:t>
      </w:r>
      <w:r>
        <w:rPr>
          <w:rFonts w:ascii="Times New Roman" w:hAnsi="Times New Roman"/>
          <w:sz w:val="22"/>
          <w:szCs w:val="22"/>
        </w:rPr>
        <w:tab/>
        <w:t>resteert € 122,22 algemene heffingskorting per maand.</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arbeidskorting maximaal € 3.103 : 12 = € 258,58 per maand; afbouw arbeidskorting 4% van </w:t>
      </w:r>
      <w:r>
        <w:rPr>
          <w:rFonts w:ascii="Times New Roman" w:hAnsi="Times New Roman"/>
          <w:sz w:val="22"/>
          <w:szCs w:val="22"/>
        </w:rPr>
        <w:tab/>
        <w:t xml:space="preserve">(12 x € 3.000 -/- € 9.147) = € 79,40, dat is € 6,61 per maand; resteert € 251,97 arbeidskorting </w:t>
      </w:r>
      <w:r>
        <w:rPr>
          <w:rFonts w:ascii="Times New Roman" w:hAnsi="Times New Roman"/>
          <w:sz w:val="22"/>
          <w:szCs w:val="22"/>
        </w:rPr>
        <w:tab/>
        <w:t>per maand.</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lastRenderedPageBreak/>
        <w:tab/>
        <w:t xml:space="preserve">Totale loonheffingskorting is € 122,22 algemene heffingskorting + € 251,97 arbeidskorting = </w:t>
      </w:r>
      <w:r>
        <w:rPr>
          <w:rFonts w:ascii="Times New Roman" w:hAnsi="Times New Roman"/>
          <w:sz w:val="22"/>
          <w:szCs w:val="22"/>
        </w:rPr>
        <w:tab/>
        <w:t>€ 374,19 per maand.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Zonder loonheffingskorting moet € 1.144,08 worden ingehouden (antwoord 2). Verminderd met de loonheffingskorting van € 374,19 (antwoord 3) bedraagt de inhouding € 769,89. Controle: De witte maandtabel geeft € 769,50 (maar gaat uit van een maandloon van € 2.997 in plaats van € 3.000).</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9.8</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Via de witte tabel voor bijzonder beloningen. Het is een loonbestanddeel dat eenmaal per jaar wordt betaald.</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9.9</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 de jonggehandicaptenkorting, de levensloopverlofkorting, de werkbonus en de tijdelijke heffingskorting voor vroeggepensioneerden.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het loontijdvak wordt onderbroken of als een werknemer in het loontijdvak in of uit dienst treedt.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Tabelloon € 2.200 + € 250 = € 2.450. De waarde van de vakantiebon moet voor 100% tot het loon worden gerekend, omdat niet aan de voorwaarden voor 99% bijtelling wordt voldaan.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heeft niet juist gehandeld. Hij moet gebruikmaken van de witte kwartaaltabel. In de maanden juli tot en met september moet hij achtereenvolgens beoordelen hoeveel loonheffing hij moet inhouden over het gecumuleerde loon voor de loonheffing. Dus over een bedrag van € 627, een bedrag van € 1321 en een bedrag van € 1702. In de witte kwartaaltabel wordt rekening gehouden met loonheffingskortingen voor een periode van een kwartaal. Hierdoor komt men minder snel toe aan het inhouden van loonheffing. (In het geval van Marja wordt er in juli en augustus geen loonheffing ingehouden. Pas in september wordt een bedrag van € 31 ingehouden).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Hier is sprake van indiensttreding in de loop van het loontijdvak. Hierdoor zijn er in het loontijdvak dagen waarover de werkneemster geen loon geniet. Als er sprake is van een parttime werkneemster, mag gewoon de witte maandtabel worden toegepast. Maar indien de werkneemster als fulltime medewerkster wordt beschouwd, moet over het loontijdvak januari de witte week- en/of dagtabel worden gebruikt. In dit geval wordt de werkneemster als fulltime medewerkster beschouwd, omdat ze gewoonlijk op vijf dagen per week werkt. Pas vanaf februari mag de witte maandtabel worden toegepast.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herleid. Hierbij wordt een week op 5 dagen gesteld. In totaal heeft Paulus 22 dagen gewerkt oftewel 3 weken + 1 dag. Voor de berekening van de loonheffing is dit 3 weken van 5 dagen + 1 dag = 16 dagen. Het loon wordt gedeeld door 16 en bedraagt dan € 151 per dag. De loonheffing bedraagt 16 keer het bedrag dat bij een loon van € 151 per dag wordt ingehouden.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Onjuist. Het aangiftetijdvak is de kalendermaand of een periode van 4 weken. Dit geldt ook voor studenten en scholieren. Maar als van de studenten- en scholierenregeling gebruikt wordt gemaakt, is het loontijdvak een kwartaal.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(De loonheffingskortingen bestaan uit de algemene heffingskorting, de arbeidskorting, de ouderenkorting, de alleenstaande-ouderenkorting, de jonggehandicaptenkorting, de levensloopverlofkorting, de werkbonus en de tijdelijke heffingskorting voor vroeggepensioneerden).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Zvw wordt geen rekening gehouden met het maximumbijdrageloon.)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Van Oost bv heeft niet juist gehandeld. Hoewel de vakantiebijslag na het beëindigen van de dienstbetrekking wordt uitbetaald is er toch sprake van loon uit tegenwoordige dienstbetrekking. De aanspraak op vakantiebijslag is namelijk gedurende het bestaan van de dienstbetrekking opgebouwd. Van Oost bv moet de witte tabel voor bijzondere beloningen </w:t>
      </w:r>
      <w:r w:rsidRPr="00C35DF8">
        <w:rPr>
          <w:rFonts w:ascii="Times New Roman" w:hAnsi="Times New Roman"/>
          <w:sz w:val="22"/>
          <w:szCs w:val="22"/>
        </w:rPr>
        <w:t>toepassen.</w:t>
      </w:r>
    </w:p>
    <w:p w:rsidR="00FF2ADA"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3.</w:t>
      </w:r>
      <w:r w:rsidRPr="00C35DF8">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rsidR="00FF2ADA" w:rsidRPr="00C35DF8"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4.</w:t>
      </w:r>
      <w:r w:rsidRPr="00C35DF8">
        <w:rPr>
          <w:rFonts w:ascii="Times New Roman" w:hAnsi="Times New Roman"/>
          <w:sz w:val="22"/>
          <w:szCs w:val="22"/>
        </w:rPr>
        <w:tab/>
        <w:t xml:space="preserve">Onjuist. </w:t>
      </w:r>
      <w:r>
        <w:rPr>
          <w:rFonts w:ascii="Times New Roman" w:hAnsi="Times New Roman"/>
          <w:sz w:val="22"/>
          <w:szCs w:val="22"/>
        </w:rPr>
        <w:t>Tegenwoordig zijn i</w:t>
      </w:r>
      <w:r w:rsidRPr="00C35DF8">
        <w:rPr>
          <w:rFonts w:ascii="Times New Roman" w:hAnsi="Times New Roman"/>
          <w:sz w:val="22"/>
          <w:szCs w:val="22"/>
        </w:rPr>
        <w:t xml:space="preserve">n de tabellen voor de bijzondere beloningen </w:t>
      </w:r>
      <w:r>
        <w:rPr>
          <w:rFonts w:ascii="Times New Roman" w:hAnsi="Times New Roman"/>
          <w:sz w:val="22"/>
          <w:szCs w:val="22"/>
        </w:rPr>
        <w:t>ook de</w:t>
      </w:r>
      <w:r w:rsidRPr="00C35DF8">
        <w:rPr>
          <w:rFonts w:ascii="Times New Roman" w:hAnsi="Times New Roman"/>
          <w:sz w:val="22"/>
          <w:szCs w:val="22"/>
        </w:rPr>
        <w:t xml:space="preserve"> heffingskortingen verwerkt.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9.13</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artiestenregeling is niet van toepassing. Leo is in principe wel artiest, want hij levert een artistieke prestatie die bestemd is om door publiek te worden beluisterd of bezien. Maar in dit geval valt Leo onder de uitzondering die genoemd wordt in art. 5a lid 1 letter c Wet LB 1964, omdat hij het optreden rechtstreeks is overeengekomen met een natuurlijke persoon ten behoeve van diens persoonlijke aangelegenheden. Er is geen sprake van loonheffing. Leo moet de inkomsten aangeven voor de inkomstenbelasting.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35 lid 1 Wet LB 1964 geeft aan dat de belasting geheven wordt naar de gage. De verstrekte drankjes behoren hier niet toe op grond van art. 35 lid 3 letter a Wet LB 1964. De reiskostenvergoeding is vrijgesteld op basis van art. 35 lid 3 letter b. Resteert een belaste gage van € 750 conform art. 35 lid 2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Betekenis van de kostenvergoedingsbeschikking: Volgens art. 35 lid 4 Wet LB 1964 behoort tot de gage mede niet een vergoeding, genoemd in een door de inspecteur afgegeven beschikking. Deze beschikking strekt tot bestrijding van kosten, lasten en afschrijvingen ter behoorlijke vervulling van het optreden dan wel een reeks van optredens door de artiest. Zie art. 12a lid 2 Uitv.besl. LB. Leo had zo’n beschikking kunnen aanvragen op basis van art. 12a lid 4 Uitv.besl. LB.</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Leo aan de personeelsvereniging geen kopie van een kostenvergoedingsbeschikking overhandigt, kan hij aangeven met welk bedrag aan kosten deze inhoudingsplichtige rekening moet houden (met een maximum van € 163). Deze zogenoemde kleinevergoedingenregeling is vastgelegd in art. 12a lid 7 Uitv.besl. LB.</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grondslag voor de loonheffing is € 750 min € 75 ingevolge de kleinevergoedingenregeling, dus € 675. Conform art. 35a lid 1 Wet LB 1964 moet hierover het gecombineerde heffingspercentage uit art. 21 letter b Wet LB 1964 worden geheven. De in te houden en af te dragen loonheffing bedraagt 36,55% van € 675 = € 246,71. Zie tabel 57.12 Loonalmanak.</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Werknemersverzekeringen: Op grond van art. 5 letter c ZW, WAO, WW en art. 8 WIA is Leo fictief verzekerd voor de werknemersverzekeringen. Ook treffen we deze aanwijzing als fictieve dienstbetrekking van de artiest aan in art. 4 van het Besluit aanwijzing gevallen waarin de arbeidsverhouding als dienstbetrekking wordt beschouwd. In art. 16 lid 1 WFSV wordt </w:t>
      </w:r>
      <w:r>
        <w:rPr>
          <w:rFonts w:ascii="Times New Roman" w:hAnsi="Times New Roman"/>
          <w:sz w:val="22"/>
          <w:szCs w:val="22"/>
        </w:rPr>
        <w:lastRenderedPageBreak/>
        <w:t xml:space="preserve">daarnaast vermeld dat het premieloon gelijk aan het fiscaal loon, waarbij het begrip ‘gage’ specifiek wordt genoemd. Hierbij moet wel rekening worden gehouden met het maximumpremieloon werknemersverzekeringen per dag (2016: € 202,93, tabel 57.8 Loonalmanak).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Zorgverzekeringswet: Een werkgeversheffing Zvw hoeft niet afgedragen te worden, omdat de gage niet onder de noemer van art. 46 Zvw valt. Wel is Leo zelf de (lage) inkomensafhankelijke bijdrage rechtstreeks aan de Belastingdienst verschuldigd. Hiervoor ontvangt hij een aanslagbiljet.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Administratieve verplichtingen i.v.m. de artiestenregeling:</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Art. 10.2 Uitv.reg. LB 2011: gageverklaring laten ondertekenen en bewaren tot ten minste 31 </w:t>
      </w:r>
      <w:r>
        <w:rPr>
          <w:rFonts w:ascii="Times New Roman" w:hAnsi="Times New Roman"/>
          <w:sz w:val="22"/>
          <w:szCs w:val="22"/>
        </w:rPr>
        <w:tab/>
        <w:t xml:space="preserve">december 2021.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Art. 10.3 Uitv.reg. LB 2011: loonstaat (met afwijkende indeling) aanleggen.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Art. 10.4 Uitv.reg. LB 2011: registratie van kostenvergoedingen e.d.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Art. 10.5 Uitv.reg. LB 2011: jaaropgaaf aan Leo verstrekken.</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Art. 10.6 Uitv.reg. LB 2011: identiteit van Leo vaststellen en kopie bewaren bij </w:t>
      </w:r>
      <w:r>
        <w:rPr>
          <w:rFonts w:ascii="Times New Roman" w:hAnsi="Times New Roman"/>
          <w:sz w:val="22"/>
          <w:szCs w:val="22"/>
        </w:rPr>
        <w:tab/>
        <w:t>loonadministratie.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De loonheffing werkt met een schijventarief. Er zijn vier loonschijven waarin het tarief oploopt van 36,55% tot 52%. Voor personen in de AOW-leeftijd kennen de eerste twee schijven een lager percentage, omdat zij geen AOW-premie af moeten dragen. Het schijventarief stemt volledig overeen met het tarief van de inkomstenbelasting.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Herleidingsregels zijn er voor:</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werknemers die alleen belastingplichtig zijn;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werknemers die alleen premieplichtig zijn;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werknemers die geen premies hoeven te betalen voor een of meer volksverzekeringen.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De maximale levensloopverlofkorting is 4 x € 209 = € 836 (vier spaarjaren). Maar deze heffingskorting mag niet meer bedragen dan het opgenomen bedrag. In dit geval dus € 500. De resterende heffingskorting blijft gereserveerd voor de toekomst. (Vanaf het spaarjaar 2012 wordt geen levensloopverlofkorting meer opgebouwd).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nettoloon moet eerst worden gebruteerd.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t>Onjuist. AOW-gerechtigden zijn vrijgesteld van het betalen van AOW-premie. Daardoor kennen de eerste twee belastingschijven voor hen een lager percentage.</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bestaat uit een gecombineerd percentage voor loonbelasting en premie volksverzekeringen. Dit is vastgelegd in art. 27b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Nu heeft Esther alleen loon uit vroegere dienstbetrekking. De inhouding wordt berekend aan de hand van de groene maandtabel.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art. 3 lid 1 letter a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art. 7 lid 3 Uitv.besl. LB. Hiervoor is op grond van 33 lid 2 letter c onder 2</w:t>
      </w:r>
      <w:r w:rsidRPr="00C10B15">
        <w:rPr>
          <w:rFonts w:ascii="Times New Roman" w:hAnsi="Times New Roman"/>
          <w:sz w:val="22"/>
          <w:szCs w:val="22"/>
          <w:vertAlign w:val="superscript"/>
        </w:rPr>
        <w:t>e</w:t>
      </w:r>
      <w:r>
        <w:rPr>
          <w:rFonts w:ascii="Times New Roman" w:hAnsi="Times New Roman"/>
          <w:sz w:val="22"/>
          <w:szCs w:val="22"/>
        </w:rPr>
        <w:t xml:space="preserve"> Wet LB 1964 en art. 7 lid 1 letter a Uitv.besl. LB een speciale loonbelastingtabel gecreëerd. Zie tabel 20.6.2 Loonalmanak.</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Conform deze tabel bedraagt de loonheffing 9% van € 1.500 = € 135.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KeuBa bv is naast de in te houden loonheffing ook premies werknemersverzekeringen verschuldigd. Zie art. 16 lid 1 WFSV,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wordt gebruik gemaakt van speciale herleidingsregels voor degenen die niet alle heffingen hoeven af te dragen.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4B263D">
        <w:rPr>
          <w:rFonts w:ascii="Times New Roman" w:hAnsi="Times New Roman"/>
          <w:sz w:val="22"/>
          <w:szCs w:val="22"/>
        </w:rPr>
        <w:t>Volgens de witte maandtabel moet bij een tabelloon van € 1.998 een bedrag</w:t>
      </w:r>
      <w:r>
        <w:rPr>
          <w:rFonts w:ascii="Times New Roman" w:hAnsi="Times New Roman"/>
          <w:sz w:val="22"/>
          <w:szCs w:val="22"/>
        </w:rPr>
        <w:t xml:space="preserve"> van € 313,33 aan loonbelasting/premie volksverzekeringen worden ingehouden. Hiervan moet de premie volksverzekeringen nog worden afgehaald, zodat alleen de loonbelasting resteert.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De herleidingstabellen zijn niet opgenomen in uw naslagmateriaal. Maar het is ook mogelijk de loonbelasting te berekenen zonder van de herleidingsregels gebruik te maken. Gemakshalve herrekenen we het gevonden tabelloon van € 1.998 tot een jaarbedrag. Dit wordt 12 x € 1.998 = € 23.976.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Op grond van tabel 57.11 Loonalmanak bedraagt de algemene heffingskorting maximaal € 2.242, maar wordt hier verminderd met 4,822% van (€ 23.976 -/- € 19.892) = € 195,48. Resterende algemene heffingskorting is € 2.046,52.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Op grond van tabel 20.2.6 Loonalmanak heeft de arbeidskorting voor 8,40/36,55 deel betrekking op de loonbelasting. De arbeidskorting wordt dus 8,40/36,55 x € 3.103 (jaarmaximum) = € 713,14.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Het jaarloon min de loonbelastingkortingen is dus € 23.976 min € 2.046,52 min € 713,14 = € 21.216,34. Dit is het jaarbedrag waarover de loonbelasting moet worden berekend.</w:t>
      </w:r>
    </w:p>
    <w:p w:rsidR="00FF2ADA" w:rsidRDefault="00FF2ADA" w:rsidP="00FF2ADA">
      <w:pPr>
        <w:pStyle w:val="Tekstzonderopmaak"/>
        <w:tabs>
          <w:tab w:val="right" w:pos="7371"/>
        </w:tabs>
        <w:ind w:left="708" w:hanging="708"/>
        <w:rPr>
          <w:rFonts w:ascii="Times New Roman" w:hAnsi="Times New Roman"/>
          <w:sz w:val="22"/>
          <w:szCs w:val="22"/>
        </w:rPr>
      </w:pPr>
      <w:r>
        <w:rPr>
          <w:rFonts w:ascii="Times New Roman" w:hAnsi="Times New Roman"/>
          <w:sz w:val="22"/>
          <w:szCs w:val="22"/>
        </w:rPr>
        <w:tab/>
        <w:t>Loonbelasting eerste schijf: 8,40% van € 19.922 =</w:t>
      </w:r>
      <w:r>
        <w:rPr>
          <w:rFonts w:ascii="Times New Roman" w:hAnsi="Times New Roman"/>
          <w:sz w:val="22"/>
          <w:szCs w:val="22"/>
        </w:rPr>
        <w:tab/>
      </w:r>
      <w:r>
        <w:rPr>
          <w:rFonts w:ascii="Times New Roman" w:hAnsi="Times New Roman"/>
          <w:sz w:val="22"/>
          <w:szCs w:val="22"/>
        </w:rPr>
        <w:tab/>
        <w:t>€ 1.673,45</w:t>
      </w:r>
    </w:p>
    <w:p w:rsidR="00FF2ADA" w:rsidRDefault="00FF2ADA" w:rsidP="00FF2ADA">
      <w:pPr>
        <w:pStyle w:val="Tekstzonderopmaak"/>
        <w:tabs>
          <w:tab w:val="right" w:pos="7371"/>
        </w:tabs>
        <w:ind w:left="708" w:hanging="708"/>
        <w:rPr>
          <w:rFonts w:ascii="Times New Roman" w:hAnsi="Times New Roman"/>
          <w:sz w:val="22"/>
          <w:szCs w:val="22"/>
        </w:rPr>
      </w:pPr>
      <w:r>
        <w:rPr>
          <w:rFonts w:ascii="Times New Roman" w:hAnsi="Times New Roman"/>
          <w:sz w:val="22"/>
          <w:szCs w:val="22"/>
        </w:rPr>
        <w:tab/>
        <w:t>Loonbelasting tweede schijf 12,05% van € (21.216,34 -/- 19.922) =</w:t>
      </w:r>
      <w:r>
        <w:rPr>
          <w:rFonts w:ascii="Times New Roman" w:hAnsi="Times New Roman"/>
          <w:sz w:val="22"/>
          <w:szCs w:val="22"/>
        </w:rPr>
        <w:tab/>
      </w:r>
      <w:r>
        <w:rPr>
          <w:rFonts w:ascii="Times New Roman" w:hAnsi="Times New Roman"/>
          <w:sz w:val="22"/>
          <w:szCs w:val="22"/>
        </w:rPr>
        <w:tab/>
        <w:t>€ 155,96</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Loonbelasting per maand € (1.673,45 + € 155,96) gedeeld door 12 = </w:t>
      </w:r>
      <w:r>
        <w:rPr>
          <w:rFonts w:ascii="Times New Roman" w:hAnsi="Times New Roman"/>
          <w:sz w:val="22"/>
          <w:szCs w:val="22"/>
        </w:rPr>
        <w:tab/>
      </w:r>
      <w:r>
        <w:rPr>
          <w:rFonts w:ascii="Times New Roman" w:hAnsi="Times New Roman"/>
          <w:sz w:val="22"/>
          <w:szCs w:val="22"/>
        </w:rPr>
        <w:tab/>
        <w:t>€ 152,45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een maandloon van € 3.000 en geen recht op loonheffingskorting is € 1.144,08 verschuldigd aan loonbelasting/premie volksverzekeringen. Dit wordt in de witte maandtabel afgelezen bij het naast lagere loonbedrag van € 2.997,00.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maximum van de tweede schijf bedraagt € 34.027 gedeeld door 12 = € 2.835,58 per maand. Het percentage premies volksverzekeringen bedraagt 28,15%. Voor premies volksverzekeringen is dus bestemd 28,15% van € 2.835,58 = € 798,21.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Berekening loonbelasting op twee manieren:</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De gemakkelijkste manier is: Totaal loonheffing € 1.144,08 (antwoord 10) verminderd met </w:t>
      </w:r>
      <w:r>
        <w:rPr>
          <w:rFonts w:ascii="Times New Roman" w:hAnsi="Times New Roman"/>
          <w:sz w:val="22"/>
          <w:szCs w:val="22"/>
        </w:rPr>
        <w:tab/>
        <w:t>totaal premies volksverzekeringen € 798,21 (antwoord 11) = € 345,87.</w:t>
      </w:r>
    </w:p>
    <w:p w:rsidR="00FF2ADA" w:rsidRPr="00520F40" w:rsidRDefault="00FF2ADA" w:rsidP="00FF2ADA">
      <w:pPr>
        <w:pStyle w:val="Tekstzonderopmaak"/>
        <w:rPr>
          <w:rFonts w:ascii="Times New Roman" w:hAnsi="Times New Roman"/>
          <w:sz w:val="22"/>
          <w:szCs w:val="22"/>
        </w:rPr>
      </w:pPr>
      <w:r w:rsidRPr="00520F40">
        <w:rPr>
          <w:rFonts w:ascii="Times New Roman" w:hAnsi="Times New Roman"/>
          <w:sz w:val="22"/>
          <w:szCs w:val="22"/>
        </w:rPr>
        <w:t>13.</w:t>
      </w:r>
      <w:r w:rsidRPr="00520F40">
        <w:rPr>
          <w:rFonts w:ascii="Times New Roman" w:hAnsi="Times New Roman"/>
          <w:sz w:val="22"/>
          <w:szCs w:val="22"/>
        </w:rPr>
        <w:tab/>
        <w:t xml:space="preserve">De loonheffing over het tantième van € 5.000 (als eenmalige beloning) wordt berekend met </w:t>
      </w:r>
      <w:r>
        <w:rPr>
          <w:rFonts w:ascii="Times New Roman" w:hAnsi="Times New Roman"/>
          <w:sz w:val="22"/>
          <w:szCs w:val="22"/>
        </w:rPr>
        <w:tab/>
      </w:r>
      <w:r w:rsidRPr="00520F40">
        <w:rPr>
          <w:rFonts w:ascii="Times New Roman" w:hAnsi="Times New Roman"/>
          <w:sz w:val="22"/>
          <w:szCs w:val="22"/>
        </w:rPr>
        <w:t xml:space="preserve">behulp van de witte tabel voor bijzondere beloningen. Het overige loon over het vierde </w:t>
      </w:r>
      <w:r>
        <w:rPr>
          <w:rFonts w:ascii="Times New Roman" w:hAnsi="Times New Roman"/>
          <w:sz w:val="22"/>
          <w:szCs w:val="22"/>
        </w:rPr>
        <w:tab/>
      </w:r>
      <w:r w:rsidRPr="00520F40">
        <w:rPr>
          <w:rFonts w:ascii="Times New Roman" w:hAnsi="Times New Roman"/>
          <w:sz w:val="22"/>
          <w:szCs w:val="22"/>
        </w:rPr>
        <w:t xml:space="preserve">kwartaal bedraagt € 12.600. De loonadministrateur van Van Oost bv zal de loonheffing </w:t>
      </w:r>
      <w:r>
        <w:rPr>
          <w:rFonts w:ascii="Times New Roman" w:hAnsi="Times New Roman"/>
          <w:sz w:val="22"/>
          <w:szCs w:val="22"/>
        </w:rPr>
        <w:tab/>
      </w:r>
      <w:r w:rsidRPr="00520F40">
        <w:rPr>
          <w:rFonts w:ascii="Times New Roman" w:hAnsi="Times New Roman"/>
          <w:sz w:val="22"/>
          <w:szCs w:val="22"/>
        </w:rPr>
        <w:t xml:space="preserve">volgens de kwartaaltabel aflezen en verminderen met de in oktober en november ingehouden </w:t>
      </w:r>
      <w:r>
        <w:rPr>
          <w:rFonts w:ascii="Times New Roman" w:hAnsi="Times New Roman"/>
          <w:sz w:val="22"/>
          <w:szCs w:val="22"/>
        </w:rPr>
        <w:tab/>
      </w:r>
      <w:r w:rsidRPr="00520F40">
        <w:rPr>
          <w:rFonts w:ascii="Times New Roman" w:hAnsi="Times New Roman"/>
          <w:sz w:val="22"/>
          <w:szCs w:val="22"/>
        </w:rPr>
        <w:t xml:space="preserve">bedragen. Het restant is dan de in te houden loonheffing in december.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De werknemersverzekeringen en de inkomensafhankelijke bijdrage Zvw worden berekend </w:t>
      </w:r>
      <w:r>
        <w:rPr>
          <w:rFonts w:ascii="Times New Roman" w:hAnsi="Times New Roman"/>
          <w:sz w:val="22"/>
          <w:szCs w:val="22"/>
        </w:rPr>
        <w:tab/>
        <w:t xml:space="preserve">volgens de grondslagaanwasmethode in de VCR-module. Hierbij moet rekening worden </w:t>
      </w:r>
      <w:r>
        <w:rPr>
          <w:rFonts w:ascii="Times New Roman" w:hAnsi="Times New Roman"/>
          <w:sz w:val="22"/>
          <w:szCs w:val="22"/>
        </w:rPr>
        <w:tab/>
        <w:t xml:space="preserve">gehouden met de maandbedragen die gelden voor het maximumpremieloon en het </w:t>
      </w:r>
      <w:r>
        <w:rPr>
          <w:rFonts w:ascii="Times New Roman" w:hAnsi="Times New Roman"/>
          <w:sz w:val="22"/>
          <w:szCs w:val="22"/>
        </w:rPr>
        <w:tab/>
        <w:t>maximumbijdrageloon.</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Wanneer de WW-uitkering door UWV wordt uitgekeerd, is UWV daarvoor inhoudingsplichtig en OTRA voor de aanvulling daarop. Het komt voor dat de WW-uitkering via de (ex)werkgever wordt betaald. In dat geval is de (ex)werkgever inhoudingsplichtig voor het geheel. Jan Zuil is met ontslag en is dus niet (meer) in dienstbetrekking. Hij kan daarom geen loon uit tegenwoordige dienstbetrekking ontvangen. Op de WW-uitkering en op de aanvulling is dus de groene tabel van toepassing.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onderscheid tussen loon uit tegenwoordige arbeid en loon uit vroegere arbeid is van belang voor de volgende zaken:</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Art. 22a Wet LB 1964 geeft aan: Voor de werknemer die loon uit tegenwoordige arbeid </w:t>
      </w:r>
      <w:r>
        <w:rPr>
          <w:rFonts w:ascii="Times New Roman" w:hAnsi="Times New Roman"/>
          <w:sz w:val="22"/>
          <w:szCs w:val="22"/>
        </w:rPr>
        <w:tab/>
        <w:t xml:space="preserve">geniet, is de arbeidskorting van toepassing. De arbeidskorting geldt niet voor loon uit vroegere </w:t>
      </w:r>
      <w:r>
        <w:rPr>
          <w:rFonts w:ascii="Times New Roman" w:hAnsi="Times New Roman"/>
          <w:sz w:val="22"/>
          <w:szCs w:val="22"/>
        </w:rPr>
        <w:tab/>
        <w:t>arbeid.</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In art. 25 lid 2 en 3 Wet LB 1964 wordt aangegeven dat loonbelastingtabellen worden </w:t>
      </w:r>
      <w:r>
        <w:rPr>
          <w:rFonts w:ascii="Times New Roman" w:hAnsi="Times New Roman"/>
          <w:sz w:val="22"/>
          <w:szCs w:val="22"/>
        </w:rPr>
        <w:tab/>
        <w:t xml:space="preserve">vastgesteld. E.e.a. is uitgewerkt in de Regeling loonbelasting- en premietabellen 1990 (niet in </w:t>
      </w:r>
      <w:r>
        <w:rPr>
          <w:rFonts w:ascii="Times New Roman" w:hAnsi="Times New Roman"/>
          <w:sz w:val="22"/>
          <w:szCs w:val="22"/>
        </w:rPr>
        <w:tab/>
        <w:t xml:space="preserve">de wettenbundel). In art. 2 en 3 van deze Regeling wordt het onderscheid gemaakt tussen witte </w:t>
      </w:r>
      <w:r>
        <w:rPr>
          <w:rFonts w:ascii="Times New Roman" w:hAnsi="Times New Roman"/>
          <w:sz w:val="22"/>
          <w:szCs w:val="22"/>
        </w:rPr>
        <w:tab/>
        <w:t xml:space="preserve">tabellen voor loon uit tegenwoordige arbeid en groene tabellen voor loon uit vroegere arbeid.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Art. 26b Wet LB 1964 maakt voor de toepassing van het anoniementarief onderscheid tussen </w:t>
      </w:r>
      <w:r>
        <w:rPr>
          <w:rFonts w:ascii="Times New Roman" w:hAnsi="Times New Roman"/>
          <w:sz w:val="22"/>
          <w:szCs w:val="22"/>
        </w:rPr>
        <w:tab/>
        <w:t xml:space="preserve">loon uit tegenwoordige en uit vroegere dienstbetrekking voor zover het betrekking heeft op de </w:t>
      </w:r>
      <w:r>
        <w:rPr>
          <w:rFonts w:ascii="Times New Roman" w:hAnsi="Times New Roman"/>
          <w:sz w:val="22"/>
          <w:szCs w:val="22"/>
        </w:rPr>
        <w:tab/>
        <w:t xml:space="preserve">identificatieplicht en de verblijfs- en tewerkstellingvergunning.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lastRenderedPageBreak/>
        <w:tab/>
        <w:t>- In art. 1 lid 1 letter c onder 1</w:t>
      </w:r>
      <w:r w:rsidRPr="00F62BCF">
        <w:rPr>
          <w:rFonts w:ascii="Times New Roman" w:hAnsi="Times New Roman"/>
          <w:sz w:val="22"/>
          <w:szCs w:val="22"/>
          <w:vertAlign w:val="superscript"/>
        </w:rPr>
        <w:t>o</w:t>
      </w:r>
      <w:r>
        <w:rPr>
          <w:rFonts w:ascii="Times New Roman" w:hAnsi="Times New Roman"/>
          <w:sz w:val="22"/>
          <w:szCs w:val="22"/>
        </w:rPr>
        <w:t xml:space="preserve"> van de Wet vermindering afdracht loonbelasting en premie </w:t>
      </w:r>
      <w:r>
        <w:rPr>
          <w:rFonts w:ascii="Times New Roman" w:hAnsi="Times New Roman"/>
          <w:sz w:val="22"/>
          <w:szCs w:val="22"/>
        </w:rPr>
        <w:tab/>
        <w:t xml:space="preserve">voor de volksverzekeringen wordt het loon uit vroegere dienstbetrekking uitgezonderd van de </w:t>
      </w:r>
      <w:r>
        <w:rPr>
          <w:rFonts w:ascii="Times New Roman" w:hAnsi="Times New Roman"/>
          <w:sz w:val="22"/>
          <w:szCs w:val="22"/>
        </w:rPr>
        <w:tab/>
        <w:t xml:space="preserve">mogelijkheid tot afdrachtverminderingen. </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Art. 16 lid 2 letter a WFSV zondert loon uit vroegere dienstbetrekking uit van de </w:t>
      </w:r>
      <w:r>
        <w:rPr>
          <w:rFonts w:ascii="Times New Roman" w:hAnsi="Times New Roman"/>
          <w:sz w:val="22"/>
          <w:szCs w:val="22"/>
        </w:rPr>
        <w:tab/>
        <w:t>premieheffing voor de werknemersverzekeringen.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(op basis van art. 25 Wet LB 1964 en de Regeling loonbelasting- en premietabellen 1990).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niet van belang of op het tijdstip waarop het loon wordt genoten de dienstbetrekking nog bestaat of al is beëindigd. Het na beëindigen van de dienstbetrekking ontvangen tantième kwalificeert als loon uit tegenwoordige arbeid. Hierop is de witte tabel van toepassing. Ingevolge art. 26 lid 1 Wet LB 1964 betreft het de tabel voor bijzondere beloningen.</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9.16</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Wet LB 1964 en art. 6.1 Uitv.reg. LB 2011.</w:t>
      </w:r>
    </w:p>
    <w:p w:rsidR="00FF2ADA" w:rsidRPr="00DF301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werkgever moet de uitkering belasten via de witte tabel voor bijzondere beloningen is, omdat het een eenmalige uitkering is en omdat er sprake is van loon uit tegenwoordige dienstbetrekking. </w:t>
      </w:r>
      <w:r w:rsidRPr="00DF3016">
        <w:rPr>
          <w:rFonts w:ascii="Times New Roman" w:hAnsi="Times New Roman"/>
          <w:sz w:val="22"/>
          <w:szCs w:val="22"/>
        </w:rPr>
        <w:t>Zie art. 26 lid 1 Wet LB 1964, dat luidt: Tantièmes, gratificaties en andere beloningen die in de regel slechts eenmaal of eenmaal per jaar worden toegekend, worden belast volgens loonbelastingtabellen voor bijzondere beloningen.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sidRPr="00DF3016">
        <w:rPr>
          <w:rFonts w:ascii="Times New Roman" w:hAnsi="Times New Roman"/>
          <w:sz w:val="22"/>
          <w:szCs w:val="22"/>
        </w:rPr>
        <w:t>.</w:t>
      </w:r>
      <w:r w:rsidRPr="00DF3016">
        <w:rPr>
          <w:rFonts w:ascii="Times New Roman" w:hAnsi="Times New Roman"/>
          <w:sz w:val="22"/>
          <w:szCs w:val="22"/>
        </w:rPr>
        <w:tab/>
        <w:t>De eerste methode op basis van art. 26 lid 1 Wet LB 1964: het toepassen van de tabel voor bijzondere beloningen op</w:t>
      </w:r>
      <w:r>
        <w:rPr>
          <w:rFonts w:ascii="Times New Roman" w:hAnsi="Times New Roman"/>
          <w:sz w:val="22"/>
          <w:szCs w:val="22"/>
        </w:rPr>
        <w:t xml:space="preserve"> de kwartaalprovisie. Stel loonheffing bedraagt 42% van € 1.400 = € 588.</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De tweede methode op grond van art. 33 Wet LB 1964 en art. 9.5 Uitv.reg. LB 2011:</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op het totale loon over de maanden juli, augustus en september (€ 5.250) fictief de </w:t>
      </w:r>
      <w:r>
        <w:rPr>
          <w:rFonts w:ascii="Times New Roman" w:hAnsi="Times New Roman"/>
          <w:sz w:val="22"/>
          <w:szCs w:val="22"/>
        </w:rPr>
        <w:tab/>
        <w:t>kwartaaltabel toepassen; stel loonheffing bedraagt € 830;</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op de som van de drie maandlonen plus de kwartaalprovisie (€ 6.650) eveneens de </w:t>
      </w:r>
      <w:r>
        <w:rPr>
          <w:rFonts w:ascii="Times New Roman" w:hAnsi="Times New Roman"/>
          <w:sz w:val="22"/>
          <w:szCs w:val="22"/>
        </w:rPr>
        <w:tab/>
        <w:t>kwartaaltabel toepassen; stel loonheffing bedraagt € 1.450;</w:t>
      </w:r>
    </w:p>
    <w:p w:rsidR="00FF2ADA" w:rsidRDefault="00FF2ADA" w:rsidP="00FF2ADA">
      <w:pPr>
        <w:pStyle w:val="Tekstzonderopmaak"/>
        <w:ind w:left="360"/>
        <w:rPr>
          <w:rFonts w:ascii="Times New Roman" w:hAnsi="Times New Roman"/>
          <w:sz w:val="22"/>
          <w:szCs w:val="22"/>
        </w:rPr>
      </w:pPr>
      <w:r>
        <w:rPr>
          <w:rFonts w:ascii="Times New Roman" w:hAnsi="Times New Roman"/>
          <w:sz w:val="22"/>
          <w:szCs w:val="22"/>
        </w:rPr>
        <w:tab/>
        <w:t xml:space="preserve">- het verschil tussen de ingehouden loonheffing is de loonheffing die op de kwartaalprovisie </w:t>
      </w:r>
      <w:r>
        <w:rPr>
          <w:rFonts w:ascii="Times New Roman" w:hAnsi="Times New Roman"/>
          <w:sz w:val="22"/>
          <w:szCs w:val="22"/>
        </w:rPr>
        <w:tab/>
        <w:t>moet worden ingehouden; dus € 1.450 min € 830 = € 620.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Attentie: De werkelijk ingehouden loonheffing over het loon (drie keer volgens de maandtabel) speelt geen enkele rol bij deze berekening.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Jan van Alfen doelt op de studenten- en scholierenregeling, waarbij in afwijking van art. 25 lid 1 Wet LB 1964 voor het loon dat in het kwartaal is gelegen de kwartaaltabel worden toegepast.</w:t>
      </w:r>
    </w:p>
    <w:p w:rsidR="00FF2ADA" w:rsidRDefault="00FF2ADA" w:rsidP="00FF2ADA">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Deze regelgeving berust op het bepaalde in art. 25 lid 4 onder 3</w:t>
      </w:r>
      <w:r w:rsidRPr="00F62BCF">
        <w:rPr>
          <w:rFonts w:ascii="Times New Roman" w:hAnsi="Times New Roman"/>
          <w:sz w:val="22"/>
          <w:szCs w:val="22"/>
          <w:vertAlign w:val="superscript"/>
        </w:rPr>
        <w:t>o</w:t>
      </w:r>
      <w:r>
        <w:rPr>
          <w:rFonts w:ascii="Times New Roman" w:hAnsi="Times New Roman"/>
          <w:sz w:val="22"/>
          <w:szCs w:val="22"/>
        </w:rPr>
        <w:t xml:space="preserve"> Wet LB 1964, uitgewerkt in art. 6.3 Uitv.reg. LB 2011.</w:t>
      </w:r>
    </w:p>
    <w:p w:rsidR="00A839A0" w:rsidRDefault="00A839A0"/>
    <w:sectPr w:rsidR="00A839A0"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FF2ADA">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7</w:t>
        </w:r>
        <w:r>
          <w:rPr>
            <w:noProof/>
          </w:rPr>
          <w:fldChar w:fldCharType="end"/>
        </w:r>
      </w:p>
    </w:sdtContent>
  </w:sdt>
  <w:p w:rsidR="001E1F8A" w:rsidRDefault="00FF2ADA">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FF2ADA"/>
    <w:rsid w:val="00A839A0"/>
    <w:rsid w:val="00B335AF"/>
    <w:rsid w:val="00FF2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3712</Words>
  <Characters>21161</Characters>
  <Application>Microsoft Office Word</Application>
  <DocSecurity>0</DocSecurity>
  <Lines>176</Lines>
  <Paragraphs>49</Paragraphs>
  <ScaleCrop>false</ScaleCrop>
  <Company>Springer-SBM</Company>
  <LinksUpToDate>false</LinksUpToDate>
  <CharactersWithSpaces>24824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2016-04-19T08:33:00Z</dcterms:created>
  <dcterms:modified xsi:type="dcterms:W3CDTF">2016-04-19T08:33:00Z</dcterms:modified>
</cp:coreProperties>
</file>