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2F" w:rsidRDefault="0032392F" w:rsidP="0032392F">
      <w:pPr>
        <w:spacing w:before="100" w:beforeAutospacing="1" w:after="100" w:afterAutospacing="1"/>
        <w:ind w:left="709" w:hanging="709"/>
        <w:rPr>
          <w:b/>
        </w:rPr>
      </w:pPr>
      <w:r>
        <w:rPr>
          <w:b/>
        </w:rPr>
        <w:t>7</w:t>
      </w:r>
      <w:r w:rsidRPr="00C00401">
        <w:rPr>
          <w:b/>
        </w:rPr>
        <w:t>.</w:t>
      </w:r>
      <w:r w:rsidRPr="00C00401">
        <w:rPr>
          <w:b/>
        </w:rPr>
        <w:tab/>
        <w:t>W</w:t>
      </w:r>
      <w:r>
        <w:rPr>
          <w:b/>
        </w:rPr>
        <w:t>erkkostenregeling</w:t>
      </w:r>
    </w:p>
    <w:p w:rsidR="0032392F" w:rsidRDefault="0032392F" w:rsidP="0032392F">
      <w:pPr>
        <w:ind w:left="709" w:hanging="709"/>
      </w:pPr>
      <w:r>
        <w:t>Opgave 7.1</w:t>
      </w:r>
    </w:p>
    <w:p w:rsidR="0032392F" w:rsidRDefault="0032392F" w:rsidP="0032392F">
      <w:pPr>
        <w:pStyle w:val="Tekstzonderopmaak"/>
        <w:numPr>
          <w:ilvl w:val="0"/>
          <w:numId w:val="1"/>
        </w:numPr>
        <w:ind w:left="709" w:hanging="709"/>
        <w:rPr>
          <w:rFonts w:ascii="Times New Roman" w:hAnsi="Times New Roman"/>
          <w:sz w:val="22"/>
          <w:szCs w:val="22"/>
        </w:rPr>
      </w:pPr>
      <w:r>
        <w:rPr>
          <w:rFonts w:ascii="Times New Roman" w:hAnsi="Times New Roman"/>
          <w:sz w:val="22"/>
          <w:szCs w:val="22"/>
        </w:rPr>
        <w:t>De grondslag voor de bepaling van de vrije ruimte is het fiscale loon. Dit is het loon voor de loonheffing zoals vermeld wordt in kolom 14 van de loonstaat. Onderdeel hiervan is de bijtelling voor de auto van de zaak.</w:t>
      </w:r>
    </w:p>
    <w:p w:rsidR="0032392F" w:rsidRDefault="0032392F" w:rsidP="0032392F">
      <w:pPr>
        <w:pStyle w:val="Tekstzonderopmaak"/>
        <w:numPr>
          <w:ilvl w:val="0"/>
          <w:numId w:val="1"/>
        </w:numPr>
        <w:ind w:left="709" w:hanging="709"/>
        <w:rPr>
          <w:rFonts w:ascii="Times New Roman" w:hAnsi="Times New Roman"/>
          <w:sz w:val="22"/>
          <w:szCs w:val="22"/>
        </w:rPr>
      </w:pPr>
      <w:r>
        <w:rPr>
          <w:rFonts w:ascii="Times New Roman" w:hAnsi="Times New Roman"/>
          <w:sz w:val="22"/>
          <w:szCs w:val="22"/>
        </w:rPr>
        <w:t xml:space="preserve">Bepaalde verstrekte voordelen kunnen niet worden toegewezen aan de vrije ruimte. Voorbeeld hiervan is de bijtelling voor de </w:t>
      </w:r>
      <w:r w:rsidRPr="009B5BE3">
        <w:rPr>
          <w:rFonts w:ascii="Times New Roman" w:hAnsi="Times New Roman"/>
          <w:sz w:val="22"/>
          <w:szCs w:val="22"/>
          <w:u w:val="single"/>
        </w:rPr>
        <w:t>auto van de zaak</w:t>
      </w:r>
      <w:r>
        <w:rPr>
          <w:rFonts w:ascii="Times New Roman" w:hAnsi="Times New Roman"/>
          <w:sz w:val="22"/>
          <w:szCs w:val="22"/>
        </w:rPr>
        <w:t xml:space="preserve">, die dus wel deel uitmaakt van de grondslag voor de vrije ruimte maar zelf buiten de werkkostenregeling om loopt en altijd bij de werknemer belast loon is. Andere loonbestanddelen die niet </w:t>
      </w:r>
      <w:r w:rsidRPr="009B5BE3">
        <w:rPr>
          <w:rFonts w:ascii="Times New Roman" w:hAnsi="Times New Roman"/>
          <w:sz w:val="22"/>
          <w:szCs w:val="22"/>
          <w:u w:val="single"/>
        </w:rPr>
        <w:t>kunnen</w:t>
      </w:r>
      <w:r>
        <w:rPr>
          <w:rFonts w:ascii="Times New Roman" w:hAnsi="Times New Roman"/>
          <w:sz w:val="22"/>
          <w:szCs w:val="22"/>
        </w:rPr>
        <w:t xml:space="preserve"> worden aangewezen zijn: </w:t>
      </w:r>
    </w:p>
    <w:p w:rsidR="0032392F" w:rsidRDefault="0032392F" w:rsidP="0032392F">
      <w:pPr>
        <w:pStyle w:val="Tekstzonderopmaak"/>
        <w:ind w:left="708"/>
        <w:rPr>
          <w:rFonts w:ascii="Times New Roman" w:hAnsi="Times New Roman"/>
          <w:sz w:val="22"/>
          <w:szCs w:val="22"/>
        </w:rPr>
      </w:pPr>
      <w:r>
        <w:rPr>
          <w:rFonts w:ascii="Times New Roman" w:hAnsi="Times New Roman"/>
          <w:sz w:val="22"/>
          <w:szCs w:val="22"/>
        </w:rPr>
        <w:t>a. de dienstwoning</w:t>
      </w:r>
    </w:p>
    <w:p w:rsidR="0032392F" w:rsidRDefault="0032392F" w:rsidP="0032392F">
      <w:pPr>
        <w:pStyle w:val="Tekstzonderopmaak"/>
        <w:ind w:left="708"/>
        <w:rPr>
          <w:rFonts w:ascii="Times New Roman" w:hAnsi="Times New Roman"/>
          <w:sz w:val="22"/>
          <w:szCs w:val="22"/>
        </w:rPr>
      </w:pPr>
      <w:r>
        <w:rPr>
          <w:rFonts w:ascii="Times New Roman" w:hAnsi="Times New Roman"/>
          <w:sz w:val="22"/>
          <w:szCs w:val="22"/>
        </w:rPr>
        <w:t>b. boetes (behalve niet verhaalde verkeersboetes die de werkgever zelf krijgt)</w:t>
      </w:r>
    </w:p>
    <w:p w:rsidR="0032392F" w:rsidRDefault="0032392F" w:rsidP="0032392F">
      <w:pPr>
        <w:pStyle w:val="Tekstzonderopmaak"/>
        <w:ind w:left="708"/>
        <w:rPr>
          <w:rFonts w:ascii="Times New Roman" w:hAnsi="Times New Roman"/>
          <w:sz w:val="22"/>
          <w:szCs w:val="22"/>
        </w:rPr>
      </w:pPr>
      <w:r>
        <w:rPr>
          <w:rFonts w:ascii="Times New Roman" w:hAnsi="Times New Roman"/>
          <w:sz w:val="22"/>
          <w:szCs w:val="22"/>
        </w:rPr>
        <w:t>c. vergoedingen/verstrekkingen voor criminele activiteiten</w:t>
      </w:r>
    </w:p>
    <w:p w:rsidR="0032392F" w:rsidRDefault="0032392F" w:rsidP="0032392F">
      <w:pPr>
        <w:pStyle w:val="Tekstzonderopmaak"/>
        <w:ind w:left="708"/>
        <w:rPr>
          <w:rFonts w:ascii="Times New Roman" w:hAnsi="Times New Roman"/>
          <w:sz w:val="22"/>
          <w:szCs w:val="22"/>
        </w:rPr>
      </w:pPr>
      <w:r>
        <w:rPr>
          <w:rFonts w:ascii="Times New Roman" w:hAnsi="Times New Roman"/>
          <w:sz w:val="22"/>
          <w:szCs w:val="22"/>
        </w:rPr>
        <w:t>d. wapens en munitie (tenzij er een ontheffing is)</w:t>
      </w:r>
    </w:p>
    <w:p w:rsidR="0032392F" w:rsidRDefault="0032392F" w:rsidP="0032392F">
      <w:pPr>
        <w:pStyle w:val="Tekstzonderopmaak"/>
        <w:ind w:left="708"/>
        <w:rPr>
          <w:rFonts w:ascii="Times New Roman" w:hAnsi="Times New Roman"/>
          <w:sz w:val="22"/>
          <w:szCs w:val="22"/>
        </w:rPr>
      </w:pPr>
      <w:r>
        <w:rPr>
          <w:rFonts w:ascii="Times New Roman" w:hAnsi="Times New Roman"/>
          <w:sz w:val="22"/>
          <w:szCs w:val="22"/>
        </w:rPr>
        <w:t>e. niet toegestane agressieve dieren</w:t>
      </w:r>
    </w:p>
    <w:p w:rsidR="0032392F" w:rsidRDefault="0032392F" w:rsidP="0032392F">
      <w:pPr>
        <w:pStyle w:val="Tekstzonderopmaak"/>
        <w:ind w:left="708"/>
        <w:rPr>
          <w:rFonts w:ascii="Times New Roman" w:hAnsi="Times New Roman"/>
          <w:sz w:val="22"/>
          <w:szCs w:val="22"/>
        </w:rPr>
      </w:pPr>
      <w:r>
        <w:rPr>
          <w:rFonts w:ascii="Times New Roman" w:hAnsi="Times New Roman"/>
          <w:sz w:val="22"/>
          <w:szCs w:val="22"/>
        </w:rPr>
        <w:t>f. overschrijding van de 30% gebruikelijkheidstoets</w:t>
      </w:r>
    </w:p>
    <w:p w:rsidR="0032392F" w:rsidRDefault="0032392F" w:rsidP="0032392F">
      <w:pPr>
        <w:pStyle w:val="Tekstzonderopmaak"/>
        <w:ind w:left="708"/>
        <w:rPr>
          <w:rFonts w:ascii="Times New Roman" w:hAnsi="Times New Roman"/>
          <w:sz w:val="22"/>
          <w:szCs w:val="22"/>
        </w:rPr>
      </w:pPr>
      <w:r>
        <w:rPr>
          <w:rFonts w:ascii="Times New Roman" w:hAnsi="Times New Roman"/>
          <w:sz w:val="22"/>
          <w:szCs w:val="22"/>
        </w:rPr>
        <w:t>g. (vanaf 2016) rentevoordeel personeelslening voor eigen woning</w:t>
      </w:r>
    </w:p>
    <w:p w:rsidR="0032392F" w:rsidRDefault="0032392F" w:rsidP="0032392F">
      <w:pPr>
        <w:pStyle w:val="Tekstzonderopmaak"/>
        <w:numPr>
          <w:ilvl w:val="0"/>
          <w:numId w:val="1"/>
        </w:numPr>
        <w:ind w:left="709" w:hanging="709"/>
        <w:rPr>
          <w:rFonts w:ascii="Times New Roman" w:hAnsi="Times New Roman"/>
          <w:sz w:val="22"/>
          <w:szCs w:val="22"/>
        </w:rPr>
      </w:pPr>
      <w:r>
        <w:rPr>
          <w:rFonts w:ascii="Times New Roman" w:hAnsi="Times New Roman"/>
          <w:sz w:val="22"/>
          <w:szCs w:val="22"/>
        </w:rPr>
        <w:t>De eindheffing bij overschrijding van de vrije ruimte bedraagt 80%. Dit komt overeen met een brutering tegen een tarief van ongeveer 45%. Ingeval een werknemer dus valt in het hoogste tarief van 52% en de werkgever wil hem een netto beloning geven, dan is het voor de werkgever voordeliger om de vergoeding toe te wijzen als eindheffingsloon aangezien het eindheffingstarief van 80% voordeliger is dan brutering tegen 52%.</w:t>
      </w:r>
    </w:p>
    <w:p w:rsidR="0032392F" w:rsidRDefault="0032392F" w:rsidP="0032392F">
      <w:pPr>
        <w:pStyle w:val="Tekstzonderopmaak"/>
        <w:numPr>
          <w:ilvl w:val="0"/>
          <w:numId w:val="1"/>
        </w:numPr>
        <w:ind w:left="709" w:hanging="709"/>
        <w:rPr>
          <w:rFonts w:ascii="Times New Roman" w:hAnsi="Times New Roman"/>
          <w:sz w:val="22"/>
          <w:szCs w:val="22"/>
        </w:rPr>
      </w:pPr>
      <w:r>
        <w:rPr>
          <w:rFonts w:ascii="Times New Roman" w:hAnsi="Times New Roman"/>
          <w:sz w:val="22"/>
          <w:szCs w:val="22"/>
        </w:rPr>
        <w:t>Vergoedingen en verstrekkingen aan ex-werknemers (de zogeheten ‘postactieven’) leiden in beginsel tot eindheffing. Alleen voor producten uit het eigen bedrijf en verstrekkingen die ook aan de gewone werknemers worden gedaan geldt dat deze onder de vrije ruimte kunnen vallen.</w:t>
      </w:r>
    </w:p>
    <w:p w:rsidR="0032392F" w:rsidRDefault="0032392F" w:rsidP="0032392F">
      <w:pPr>
        <w:pStyle w:val="Tekstzonderopmaak"/>
        <w:numPr>
          <w:ilvl w:val="0"/>
          <w:numId w:val="1"/>
        </w:numPr>
        <w:ind w:left="709" w:hanging="709"/>
        <w:rPr>
          <w:rFonts w:ascii="Times New Roman" w:hAnsi="Times New Roman"/>
          <w:sz w:val="22"/>
          <w:szCs w:val="22"/>
        </w:rPr>
      </w:pPr>
      <w:r>
        <w:rPr>
          <w:rFonts w:ascii="Times New Roman" w:hAnsi="Times New Roman"/>
          <w:sz w:val="22"/>
          <w:szCs w:val="22"/>
        </w:rPr>
        <w:t>Het benutten van de vrije ruimte wordt begrensd door de zogeheten ‘gebruikelijkheidstoets’. Indien het niet gebruikelijk is dat een vergoeding of verstrekking als eindheffingsloon wordt aangewezen, dus dat een eventuele belastingheffing niet voor rekening van de werkgever moet komen, behoort de vergoeding of verstrekking tot het loon van de werknemer. Daarnaast houdt dat de door de werkgever gedane vergoedingen en/of verstrekkingen niet meer dan 30% mogen afwijken van hetgeen gebruikelijk is. De bewijslast hiervan rust op de Belastingdienst.</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Opgave 7.2</w:t>
      </w: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Onder de werkkostenregeling kunnen vaste kostenvergoedingen alleen betrekking hebben op gerichte vrijstellingen en intermediaire kosten.</w:t>
      </w: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In alle gevallen moet een daadwerkelijk verricht kostenonderzoek ten grondslag liggen aan de vaste kostenvergoeding. Dit mag ook een kostenonderzoek zijn van vóór het regime van de werkkostenregeling (dus ook vóór 2011). Het moet wel een representatief onderzoek zijn en mag niet te ver in het verleden liggen.</w:t>
      </w: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Dit zijn kosten die feitelijk kosten van de werkgever betreffen, en voor diens rekening komen en in wiens opdracht de kosten gemaakt worden, maar die door de werknemer worden betaald/voorgeschoten. Het gaat om uitgaven voor  verwerving van zaken die tot het vermogen van de werkgever gaan behoren, dan wel gemaakt worden ten behoeve van zaken die tot het vermogen van de werkgever behoren. Of het betreft kosten die samenhangen met de bedrijfsuitoefening door de werkgever en niet met het functioneren van de werkgever.</w:t>
      </w: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Als werkplek wordt aangemerkt die  plaats waar de werkgever verantwoordelijk voor is in de zin van de Arbeidsomstandighedenwet. Uitgezonderd is vrijwel altijd de werkruimte gelegen in de woning van de werknemer.</w:t>
      </w: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Het is mogelijk de vrije ruimte op concernniveau toe te passen. Voorwaarde hiervoor is dat de ene werkgever een aandelenbelang heeft in de andere werkgever van ten minste 95%. Omdat in dit geval sprake is van volledige dochters kan de concernregeling worden toegepast. Hierbij wordt een verschuldigde eindheffing betaald door het concernonderdeel met de hoogste fiscale loonsom, dus dat kan ieder der vennootschappen zijn.</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lastRenderedPageBreak/>
        <w:t>Opgave 7.3</w:t>
      </w:r>
    </w:p>
    <w:p w:rsidR="0032392F" w:rsidRDefault="0032392F" w:rsidP="0032392F">
      <w:pPr>
        <w:pStyle w:val="Tekstzonderopmaak"/>
        <w:numPr>
          <w:ilvl w:val="0"/>
          <w:numId w:val="2"/>
        </w:numPr>
        <w:ind w:left="709" w:hanging="709"/>
        <w:rPr>
          <w:rFonts w:ascii="Times New Roman" w:hAnsi="Times New Roman"/>
          <w:sz w:val="22"/>
          <w:szCs w:val="22"/>
        </w:rPr>
      </w:pPr>
      <w:r>
        <w:rPr>
          <w:rFonts w:ascii="Times New Roman" w:hAnsi="Times New Roman"/>
          <w:sz w:val="22"/>
          <w:szCs w:val="22"/>
        </w:rPr>
        <w:t>Per loontijdvak kunnen de aangewezen vergoedingen en verstrekkingen worden bepaald en vergeleken worden met de fiscale loonsom over dat loontijdvak. Het kan ook anders. De verschuldigde eindheffing kan ook worden bepaald aan het einde van het kalenderjaar, nadat fiscale loonsom en eindheffingsloon bekend zijn. De eindheffing wordt dan betaald bij de aangifte over het eerste loontijdvak van het volgende kalenderjaar.</w:t>
      </w:r>
    </w:p>
    <w:p w:rsidR="0032392F" w:rsidRDefault="0032392F" w:rsidP="0032392F">
      <w:pPr>
        <w:pStyle w:val="Tekstzonderopmaak"/>
        <w:numPr>
          <w:ilvl w:val="0"/>
          <w:numId w:val="2"/>
        </w:numPr>
        <w:ind w:left="709" w:hanging="709"/>
        <w:rPr>
          <w:rFonts w:ascii="Times New Roman" w:hAnsi="Times New Roman"/>
          <w:sz w:val="22"/>
          <w:szCs w:val="22"/>
        </w:rPr>
      </w:pPr>
      <w:r>
        <w:rPr>
          <w:rFonts w:ascii="Times New Roman" w:hAnsi="Times New Roman"/>
          <w:sz w:val="22"/>
          <w:szCs w:val="22"/>
        </w:rPr>
        <w:t>De financiële administratie moet dusdanig zijn ingericht dat de omvang van de vergoedingen en verstrekkingen (per loontijdvak, doch in ieder geval per jaar)  moet kunnen worden herleid en het cumulatieve bedrag (inclusief btw) vergeleken kan worden met de vrije ruimte op basis van de fiscale loonsom. Logischerwijs gaat het om het bedrag van de posten voor zover die ten laste van de vrije ruimte komen, gerichte vrijstellingen en nihilwaarderingen tellen hierbij niet mee en forfaitair te waarderen posten alleen meetellen voor het forfaitaire bedrag.</w:t>
      </w:r>
    </w:p>
    <w:p w:rsidR="0032392F" w:rsidRDefault="0032392F" w:rsidP="0032392F">
      <w:pPr>
        <w:pStyle w:val="Tekstzonderopmaak"/>
        <w:numPr>
          <w:ilvl w:val="0"/>
          <w:numId w:val="2"/>
        </w:numPr>
        <w:ind w:left="709" w:hanging="709"/>
        <w:rPr>
          <w:rFonts w:ascii="Times New Roman" w:hAnsi="Times New Roman"/>
          <w:sz w:val="22"/>
          <w:szCs w:val="22"/>
        </w:rPr>
      </w:pPr>
      <w:r>
        <w:rPr>
          <w:rFonts w:ascii="Times New Roman" w:hAnsi="Times New Roman"/>
          <w:sz w:val="22"/>
          <w:szCs w:val="22"/>
        </w:rPr>
        <w:t xml:space="preserve">Wat betreft werkkleding geldt dat  die aan de werknemer </w:t>
      </w:r>
      <w:r w:rsidRPr="00122E43">
        <w:rPr>
          <w:rFonts w:ascii="Times New Roman" w:hAnsi="Times New Roman"/>
          <w:i/>
          <w:sz w:val="22"/>
          <w:szCs w:val="22"/>
        </w:rPr>
        <w:t>ter beschikking</w:t>
      </w:r>
      <w:r>
        <w:rPr>
          <w:rFonts w:ascii="Times New Roman" w:hAnsi="Times New Roman"/>
          <w:sz w:val="22"/>
          <w:szCs w:val="22"/>
        </w:rPr>
        <w:t xml:space="preserve"> wordt gesteld, dus in bruikleen (en dus eigendom blijft van de werkgever). Voor werkkleding geldt uiteraard dat deze als zodanig kwalificeert.</w:t>
      </w: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ab/>
        <w:t>Voor de telefoon en computerapparatuur geldt dat deze onbelast kunnen worden verstrekt of vergoed als deze noodzakelijk zijn voor uitoefening van de dienstbetrekking. Bij einde van gebruik voor de dienstbetrekking moet de voorziening worden teruggegeven aan de werkgever of vergoeding plaatsvinden van de restwaarde.</w:t>
      </w:r>
    </w:p>
    <w:p w:rsidR="0032392F" w:rsidRDefault="0032392F" w:rsidP="0032392F">
      <w:pPr>
        <w:pStyle w:val="Tekstzonderopmaak"/>
        <w:numPr>
          <w:ilvl w:val="0"/>
          <w:numId w:val="2"/>
        </w:numPr>
        <w:ind w:left="709" w:hanging="709"/>
        <w:rPr>
          <w:rFonts w:ascii="Times New Roman" w:hAnsi="Times New Roman"/>
          <w:sz w:val="22"/>
          <w:szCs w:val="22"/>
        </w:rPr>
      </w:pPr>
      <w:r>
        <w:rPr>
          <w:rFonts w:ascii="Times New Roman" w:hAnsi="Times New Roman"/>
          <w:sz w:val="22"/>
          <w:szCs w:val="22"/>
        </w:rPr>
        <w:t>Een iPad kan onbelast worden vergoed, verstrekt of ter beschikking gesteld, mits de werkgever deze noodzakelijk acht voor de uitoefening van de dienstbetrekking. De regeling voor computers geldt ook voor de iPad. Er is sprake van een gerichte vrijstelling als aan het noodzakelijkheidscriterium wordt voldaan. Als de iPad niet noodzakelijk is voor de dienstbetrekking, is er sprake van loon voor de werknemer of aanwijzing als eindheffingsloon.</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Opgave 7.4</w:t>
      </w:r>
    </w:p>
    <w:p w:rsidR="0032392F" w:rsidRDefault="0032392F" w:rsidP="0032392F">
      <w:pPr>
        <w:pStyle w:val="Tekstzonderopmaak"/>
        <w:numPr>
          <w:ilvl w:val="0"/>
          <w:numId w:val="3"/>
        </w:numPr>
        <w:ind w:left="709" w:hanging="709"/>
        <w:rPr>
          <w:rFonts w:ascii="Times New Roman" w:hAnsi="Times New Roman"/>
          <w:sz w:val="22"/>
          <w:szCs w:val="22"/>
        </w:rPr>
      </w:pPr>
      <w:r>
        <w:rPr>
          <w:rFonts w:ascii="Times New Roman" w:hAnsi="Times New Roman"/>
          <w:sz w:val="22"/>
          <w:szCs w:val="22"/>
        </w:rPr>
        <w:t xml:space="preserve">Onjuist. Het betreft een onbelaste aanspraak, die zich afspeelt buiten de sfeer van de vergoedingen en verstrekkingen waarop de werkkostenregeling betrekking heeft. </w:t>
      </w:r>
    </w:p>
    <w:p w:rsidR="0032392F" w:rsidRDefault="0032392F" w:rsidP="0032392F">
      <w:pPr>
        <w:pStyle w:val="Tekstzonderopmaak"/>
        <w:numPr>
          <w:ilvl w:val="0"/>
          <w:numId w:val="3"/>
        </w:numPr>
        <w:ind w:left="709" w:hanging="709"/>
        <w:rPr>
          <w:rFonts w:ascii="Times New Roman" w:hAnsi="Times New Roman"/>
          <w:sz w:val="22"/>
          <w:szCs w:val="22"/>
        </w:rPr>
      </w:pPr>
      <w:r>
        <w:rPr>
          <w:rFonts w:ascii="Times New Roman" w:hAnsi="Times New Roman"/>
          <w:sz w:val="22"/>
          <w:szCs w:val="22"/>
        </w:rPr>
        <w:t>Juist. Bijtelling behoort tot het fiscale loon en is overeenkomstig onderdeel van de grondslag. (Maar let op: de bijtelling zelf is verplicht werknemersloon; aanwijzen als eindheffingsloon is niet toegestaan).</w:t>
      </w:r>
    </w:p>
    <w:p w:rsidR="0032392F" w:rsidRDefault="0032392F" w:rsidP="0032392F">
      <w:pPr>
        <w:pStyle w:val="Tekstzonderopmaak"/>
        <w:numPr>
          <w:ilvl w:val="0"/>
          <w:numId w:val="3"/>
        </w:numPr>
        <w:ind w:left="709" w:hanging="709"/>
        <w:rPr>
          <w:rFonts w:ascii="Times New Roman" w:hAnsi="Times New Roman"/>
          <w:sz w:val="22"/>
          <w:szCs w:val="22"/>
        </w:rPr>
      </w:pPr>
      <w:r>
        <w:rPr>
          <w:rFonts w:ascii="Times New Roman" w:hAnsi="Times New Roman"/>
          <w:sz w:val="22"/>
          <w:szCs w:val="22"/>
        </w:rPr>
        <w:t>Onjuist. De eindheffing betreft alleen loonbelasting.</w:t>
      </w:r>
    </w:p>
    <w:p w:rsidR="0032392F" w:rsidRDefault="0032392F" w:rsidP="0032392F">
      <w:pPr>
        <w:pStyle w:val="Tekstzonderopmaak"/>
        <w:numPr>
          <w:ilvl w:val="0"/>
          <w:numId w:val="3"/>
        </w:numPr>
        <w:ind w:left="709" w:hanging="709"/>
        <w:rPr>
          <w:rFonts w:ascii="Times New Roman" w:hAnsi="Times New Roman"/>
          <w:sz w:val="22"/>
          <w:szCs w:val="22"/>
        </w:rPr>
      </w:pPr>
      <w:r>
        <w:rPr>
          <w:rFonts w:ascii="Times New Roman" w:hAnsi="Times New Roman"/>
          <w:sz w:val="22"/>
          <w:szCs w:val="22"/>
        </w:rPr>
        <w:t>Juist. Het betreft verstrekkingen/vergoedingen aan niet-werknemers. Maar aangezien alle bedragen van aangewezen vergoedingen en verstrekkingen niet meer per werknemer behoeven te worden geadministreerd, kan het wel.</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Opgave 7.5</w:t>
      </w:r>
    </w:p>
    <w:p w:rsidR="0032392F" w:rsidRPr="00122E43" w:rsidRDefault="0032392F" w:rsidP="0032392F">
      <w:pPr>
        <w:pStyle w:val="Tekstzonderopmaak"/>
        <w:numPr>
          <w:ilvl w:val="0"/>
          <w:numId w:val="4"/>
        </w:numPr>
        <w:ind w:left="709" w:hanging="709"/>
        <w:rPr>
          <w:rFonts w:ascii="Times New Roman" w:hAnsi="Times New Roman"/>
          <w:sz w:val="22"/>
          <w:szCs w:val="22"/>
        </w:rPr>
      </w:pPr>
      <w:r>
        <w:rPr>
          <w:rFonts w:ascii="Times New Roman" w:hAnsi="Times New Roman"/>
          <w:sz w:val="22"/>
          <w:szCs w:val="22"/>
        </w:rPr>
        <w:t>Onjuist. Het verstrekken van een telefoon kan als gerichte vrijstelling kwalificeren. Voorwaarde hiervoor is dat de telefoon naar de mening van de werkgever noodzakelijk is voor de uitoefening van de dienstbetrekking.  Daarnaast geldt dat de telefoon bij einde van het gebruik voor de dienstbetrekking aan de werkgever moet worden teruggegeven of de werknemer moet de dan geldende restwaarde aan de werkgever vergoeden.</w:t>
      </w:r>
    </w:p>
    <w:p w:rsidR="0032392F" w:rsidRDefault="0032392F" w:rsidP="0032392F">
      <w:pPr>
        <w:pStyle w:val="Tekstzonderopmaak"/>
        <w:numPr>
          <w:ilvl w:val="0"/>
          <w:numId w:val="4"/>
        </w:numPr>
        <w:ind w:left="709" w:hanging="709"/>
        <w:rPr>
          <w:rFonts w:ascii="Times New Roman" w:hAnsi="Times New Roman"/>
          <w:sz w:val="22"/>
          <w:szCs w:val="22"/>
        </w:rPr>
      </w:pPr>
      <w:r>
        <w:rPr>
          <w:rFonts w:ascii="Times New Roman" w:hAnsi="Times New Roman"/>
          <w:sz w:val="22"/>
          <w:szCs w:val="22"/>
        </w:rPr>
        <w:t>Juist.</w:t>
      </w:r>
    </w:p>
    <w:p w:rsidR="0032392F" w:rsidRDefault="0032392F" w:rsidP="0032392F">
      <w:pPr>
        <w:pStyle w:val="Tekstzonderopmaak"/>
        <w:numPr>
          <w:ilvl w:val="0"/>
          <w:numId w:val="4"/>
        </w:numPr>
        <w:ind w:left="709" w:hanging="709"/>
        <w:rPr>
          <w:rFonts w:ascii="Times New Roman" w:hAnsi="Times New Roman"/>
          <w:sz w:val="22"/>
          <w:szCs w:val="22"/>
        </w:rPr>
      </w:pPr>
      <w:r>
        <w:rPr>
          <w:rFonts w:ascii="Times New Roman" w:hAnsi="Times New Roman"/>
          <w:sz w:val="22"/>
          <w:szCs w:val="22"/>
        </w:rPr>
        <w:t>Onjuist. De werkruimte in de woning van de werknemer wordt niet aangemerkt als werkplek in de zin van de werkkostenregeling. Van een werkruimte is echter wel sprake als het gaat om een zelfstandige ruimte (eigen opgang en sanitair), waarvoor de werkgever een reële huurovereenkomst met de werknemer heeft afgesloten, waardoor de ruimte alleen aan de werkgever beschikbaar staat en de werknemer hierin werkt. Wel kunnen arbovoorzieningen als gerichte vrijstellingen onbelast worden verstrekt of vergoed.</w:t>
      </w:r>
    </w:p>
    <w:p w:rsidR="0032392F" w:rsidRPr="0029654E" w:rsidRDefault="0032392F" w:rsidP="0032392F">
      <w:pPr>
        <w:pStyle w:val="Tekstzonderopmaak"/>
        <w:numPr>
          <w:ilvl w:val="0"/>
          <w:numId w:val="4"/>
        </w:numPr>
        <w:ind w:left="709" w:hanging="709"/>
        <w:rPr>
          <w:rFonts w:ascii="Times New Roman" w:hAnsi="Times New Roman"/>
          <w:sz w:val="22"/>
          <w:szCs w:val="22"/>
        </w:rPr>
      </w:pPr>
      <w:r w:rsidRPr="0029654E">
        <w:rPr>
          <w:rFonts w:ascii="Times New Roman" w:hAnsi="Times New Roman"/>
          <w:sz w:val="22"/>
          <w:szCs w:val="22"/>
        </w:rPr>
        <w:t>Juist. (Deze zijn per definitie onbelast te vergoeden aangezien het kosten van de werkgever zijn.)</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Opgave 7.6</w:t>
      </w:r>
    </w:p>
    <w:p w:rsidR="0032392F" w:rsidRDefault="0032392F" w:rsidP="0032392F">
      <w:pPr>
        <w:pStyle w:val="Tekstzonderopmaak"/>
        <w:numPr>
          <w:ilvl w:val="0"/>
          <w:numId w:val="5"/>
        </w:numPr>
        <w:ind w:left="709" w:hanging="709"/>
        <w:rPr>
          <w:rFonts w:ascii="Times New Roman" w:hAnsi="Times New Roman"/>
          <w:sz w:val="22"/>
          <w:szCs w:val="22"/>
        </w:rPr>
      </w:pPr>
      <w:r>
        <w:rPr>
          <w:rFonts w:ascii="Times New Roman" w:hAnsi="Times New Roman"/>
          <w:sz w:val="22"/>
          <w:szCs w:val="22"/>
        </w:rPr>
        <w:t xml:space="preserve">Onjuist. De vrije ruimte kan ‘vrij’ ingevuld worden door de werkgever met vergoedingen en verstrekkingen aan werknemers. Voor het geven van vergoedingen (in geld) is het niet </w:t>
      </w:r>
      <w:r>
        <w:rPr>
          <w:rFonts w:ascii="Times New Roman" w:hAnsi="Times New Roman"/>
          <w:sz w:val="22"/>
          <w:szCs w:val="22"/>
        </w:rPr>
        <w:lastRenderedPageBreak/>
        <w:t>noodzakelijk dat tegenover het geven van de vergoeding in geld (is loon) daadwerkelijke uitgaven worden gedaan door de werknemer. Rekening moet worden gehouden met de gebruikelijkheidstoets, waarbij de aanwijzing als eindheffingsloon gebruikelijk moet zijn.</w:t>
      </w:r>
    </w:p>
    <w:p w:rsidR="0032392F" w:rsidRDefault="0032392F" w:rsidP="0032392F">
      <w:pPr>
        <w:pStyle w:val="Tekstzonderopmaak"/>
        <w:numPr>
          <w:ilvl w:val="0"/>
          <w:numId w:val="5"/>
        </w:numPr>
        <w:ind w:left="709" w:hanging="709"/>
        <w:rPr>
          <w:rFonts w:ascii="Times New Roman" w:hAnsi="Times New Roman"/>
          <w:sz w:val="22"/>
          <w:szCs w:val="22"/>
        </w:rPr>
      </w:pPr>
      <w:r>
        <w:rPr>
          <w:rFonts w:ascii="Times New Roman" w:hAnsi="Times New Roman"/>
          <w:sz w:val="22"/>
          <w:szCs w:val="22"/>
        </w:rPr>
        <w:t>Juist. Een meer correcte beantwoording is dat de iPad in deze situatie als gerichte vrijstelling ter beschikking kan worden gesteld.</w:t>
      </w:r>
    </w:p>
    <w:p w:rsidR="0032392F" w:rsidRDefault="0032392F" w:rsidP="0032392F">
      <w:pPr>
        <w:pStyle w:val="Tekstzonderopmaak"/>
        <w:numPr>
          <w:ilvl w:val="0"/>
          <w:numId w:val="5"/>
        </w:numPr>
        <w:ind w:left="709" w:hanging="709"/>
        <w:rPr>
          <w:rFonts w:ascii="Times New Roman" w:hAnsi="Times New Roman"/>
          <w:sz w:val="22"/>
          <w:szCs w:val="22"/>
        </w:rPr>
      </w:pPr>
      <w:r>
        <w:rPr>
          <w:rFonts w:ascii="Times New Roman" w:hAnsi="Times New Roman"/>
          <w:sz w:val="22"/>
          <w:szCs w:val="22"/>
        </w:rPr>
        <w:t xml:space="preserve">Onjuist. Gedoeld wordt op de concernregeling zoals deze geldt sinds 2015. Dochtervennootschappen tellen hiervoor mee onder de voorwaarde dat de holding het </w:t>
      </w:r>
      <w:r w:rsidRPr="0050433A">
        <w:rPr>
          <w:rFonts w:ascii="Times New Roman" w:hAnsi="Times New Roman"/>
          <w:sz w:val="22"/>
          <w:szCs w:val="22"/>
          <w:u w:val="single"/>
        </w:rPr>
        <w:t>gehele jaar</w:t>
      </w:r>
      <w:r>
        <w:rPr>
          <w:rFonts w:ascii="Times New Roman" w:hAnsi="Times New Roman"/>
          <w:sz w:val="22"/>
          <w:szCs w:val="22"/>
        </w:rPr>
        <w:t xml:space="preserve"> een belang heeft van ten minste 95%.</w:t>
      </w:r>
    </w:p>
    <w:p w:rsidR="0032392F" w:rsidRDefault="0032392F" w:rsidP="0032392F">
      <w:pPr>
        <w:pStyle w:val="Tekstzonderopmaak"/>
        <w:numPr>
          <w:ilvl w:val="0"/>
          <w:numId w:val="5"/>
        </w:numPr>
        <w:ind w:left="709" w:hanging="709"/>
        <w:rPr>
          <w:rFonts w:ascii="Times New Roman" w:hAnsi="Times New Roman"/>
          <w:sz w:val="22"/>
          <w:szCs w:val="22"/>
        </w:rPr>
      </w:pPr>
      <w:r>
        <w:rPr>
          <w:rFonts w:ascii="Times New Roman" w:hAnsi="Times New Roman"/>
          <w:sz w:val="22"/>
          <w:szCs w:val="22"/>
        </w:rPr>
        <w:t>Onjuist. Het gaat om de waarde van verstrekkingen die de werknemers in het economisch verkeer genieten, dit is de waarde inclusief omzetbelasting. Bij de bepaling van de hoogte van de vergoedingen en verstrekkingen moet in de financiële administratie de waarde inclusief omzetbelasting kunnen worden herleid.</w:t>
      </w:r>
    </w:p>
    <w:p w:rsidR="0032392F" w:rsidRDefault="0032392F" w:rsidP="0032392F">
      <w:pPr>
        <w:pStyle w:val="Tekstzonderopmaak"/>
        <w:numPr>
          <w:ilvl w:val="0"/>
          <w:numId w:val="5"/>
        </w:numPr>
        <w:ind w:left="709" w:hanging="709"/>
        <w:rPr>
          <w:rFonts w:ascii="Times New Roman" w:hAnsi="Times New Roman"/>
          <w:sz w:val="22"/>
          <w:szCs w:val="22"/>
        </w:rPr>
      </w:pPr>
      <w:r>
        <w:rPr>
          <w:rFonts w:ascii="Times New Roman" w:hAnsi="Times New Roman"/>
          <w:sz w:val="22"/>
          <w:szCs w:val="22"/>
        </w:rPr>
        <w:t>Onjuist. Als de verstrekte korting per werknemer wordt geadministreerd, is de korting binnen de hiervoor gestelde grenzen (20% korting per aanschaf en € 500 per jaar) gericht vrijgesteld.</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Opgave 7.7</w:t>
      </w:r>
    </w:p>
    <w:p w:rsidR="0032392F" w:rsidRDefault="0032392F" w:rsidP="0032392F">
      <w:pPr>
        <w:pStyle w:val="Tekstzonderopmaak"/>
        <w:numPr>
          <w:ilvl w:val="0"/>
          <w:numId w:val="6"/>
        </w:numPr>
        <w:ind w:left="709" w:hanging="709"/>
        <w:rPr>
          <w:rFonts w:ascii="Times New Roman" w:hAnsi="Times New Roman"/>
          <w:sz w:val="22"/>
          <w:szCs w:val="22"/>
        </w:rPr>
      </w:pPr>
      <w:r>
        <w:rPr>
          <w:rFonts w:ascii="Times New Roman" w:hAnsi="Times New Roman"/>
          <w:sz w:val="22"/>
          <w:szCs w:val="22"/>
        </w:rPr>
        <w:t xml:space="preserve">De fiscale loonsom is € 1,5 miljoen en de vrije ruimte (1,2%) dus maximaal  € 18.000. De vraag is dus in hoeverre de vergoedingen en verstrekking, als ze zouden worden toegewezen, ten laste komen van de vrije ruimte. De werkkleding kan op nihil worden gewaardeerd. De reiskosten voor woon-werkverkeer zijn gericht vrijgesteld. De kerstpakketten (40 x € 70 = € 2.800) en de personeelsreis (€ 9.500) komen wel ten laste van de vrije ruimte. Het totale beslag op de vrije ruimte is dus € 12.300. </w:t>
      </w:r>
    </w:p>
    <w:p w:rsidR="0032392F" w:rsidRPr="00395AEC" w:rsidRDefault="0032392F" w:rsidP="0032392F">
      <w:pPr>
        <w:pStyle w:val="Tekstzonderopmaak"/>
        <w:numPr>
          <w:ilvl w:val="0"/>
          <w:numId w:val="6"/>
        </w:numPr>
        <w:ind w:left="709" w:hanging="709"/>
        <w:rPr>
          <w:rFonts w:ascii="Times New Roman" w:hAnsi="Times New Roman"/>
          <w:sz w:val="22"/>
          <w:szCs w:val="22"/>
        </w:rPr>
      </w:pPr>
      <w:r>
        <w:rPr>
          <w:rFonts w:ascii="Times New Roman" w:hAnsi="Times New Roman"/>
          <w:sz w:val="22"/>
          <w:szCs w:val="22"/>
        </w:rPr>
        <w:t>Uitgaande van het normale niveau van de vergoedingen en verstrekkingen wordt de vrije ruimte niet overschreden. Het ligt dan ook niet voor de hand de arbeidsvoorwaarden aan te passen (om eindheffing te voorkomen).</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Opgave 7.8</w:t>
      </w:r>
    </w:p>
    <w:p w:rsidR="0032392F" w:rsidRDefault="0032392F" w:rsidP="0032392F">
      <w:pPr>
        <w:pStyle w:val="Tekstzonderopmaak"/>
        <w:numPr>
          <w:ilvl w:val="0"/>
          <w:numId w:val="7"/>
        </w:numPr>
        <w:ind w:left="709" w:hanging="709"/>
        <w:rPr>
          <w:rFonts w:ascii="Times New Roman" w:hAnsi="Times New Roman"/>
          <w:sz w:val="22"/>
          <w:szCs w:val="22"/>
        </w:rPr>
      </w:pPr>
      <w:r>
        <w:rPr>
          <w:rFonts w:ascii="Times New Roman" w:hAnsi="Times New Roman"/>
          <w:sz w:val="22"/>
          <w:szCs w:val="22"/>
        </w:rPr>
        <w:t>De kosten van de maaltijden die door de relaties worden genoten, zijn intermediaire kosten van Piet Smolders Kantoormeubelen. De kosten van de maaltijden van de verkoopmedewerkers en het management zijn verblijfskosten en vallen onder de gerichte vrijstellingen. De volledige vergoeding van de facturen van deze maaltijden nemen geen vrije ruimte in beslag.</w:t>
      </w:r>
    </w:p>
    <w:p w:rsidR="0032392F" w:rsidRDefault="0032392F" w:rsidP="0032392F">
      <w:pPr>
        <w:pStyle w:val="Tekstzonderopmaak"/>
        <w:numPr>
          <w:ilvl w:val="0"/>
          <w:numId w:val="7"/>
        </w:numPr>
        <w:ind w:left="709" w:hanging="709"/>
        <w:rPr>
          <w:rFonts w:ascii="Times New Roman" w:hAnsi="Times New Roman"/>
          <w:sz w:val="22"/>
          <w:szCs w:val="22"/>
        </w:rPr>
      </w:pPr>
      <w:r>
        <w:rPr>
          <w:rFonts w:ascii="Times New Roman" w:hAnsi="Times New Roman"/>
          <w:sz w:val="22"/>
          <w:szCs w:val="22"/>
        </w:rPr>
        <w:t>De kosten van de maaltijden tijdens de dienstreizen van de verkoopmedewerkers zijn gericht vrijgesteld (verblijfskosten).</w:t>
      </w:r>
    </w:p>
    <w:p w:rsidR="0032392F" w:rsidRDefault="0032392F" w:rsidP="0032392F">
      <w:pPr>
        <w:pStyle w:val="Tekstzonderopmaak"/>
        <w:numPr>
          <w:ilvl w:val="0"/>
          <w:numId w:val="7"/>
        </w:numPr>
        <w:ind w:left="709" w:hanging="709"/>
        <w:rPr>
          <w:rFonts w:ascii="Times New Roman" w:hAnsi="Times New Roman"/>
          <w:sz w:val="22"/>
          <w:szCs w:val="22"/>
        </w:rPr>
      </w:pPr>
      <w:r>
        <w:rPr>
          <w:rFonts w:ascii="Times New Roman" w:hAnsi="Times New Roman"/>
          <w:sz w:val="22"/>
          <w:szCs w:val="22"/>
        </w:rPr>
        <w:t>De aan de werknemers ter beschikking gestelde werkkleding kan op nihil worden gewaardeerd. De vergoeding voor de waskosten thuis valt dan onder de intermediaire kosten.</w:t>
      </w:r>
    </w:p>
    <w:p w:rsidR="0032392F" w:rsidRDefault="0032392F" w:rsidP="0032392F">
      <w:pPr>
        <w:pStyle w:val="Tekstzonderopmaak"/>
        <w:numPr>
          <w:ilvl w:val="0"/>
          <w:numId w:val="7"/>
        </w:numPr>
        <w:ind w:left="709" w:hanging="709"/>
        <w:rPr>
          <w:rFonts w:ascii="Times New Roman" w:hAnsi="Times New Roman"/>
          <w:sz w:val="22"/>
          <w:szCs w:val="22"/>
        </w:rPr>
      </w:pPr>
      <w:r>
        <w:rPr>
          <w:rFonts w:ascii="Times New Roman" w:hAnsi="Times New Roman"/>
          <w:sz w:val="22"/>
          <w:szCs w:val="22"/>
        </w:rPr>
        <w:t>Hier is sprake van een werkplek aangezien de ontwerpers hier meer dan 20 dagen werkzaam zijn. De maaltijden in de bedrijfskantine worden gewaardeerd op € 3,25 per maaltijd.</w:t>
      </w:r>
    </w:p>
    <w:p w:rsidR="0032392F" w:rsidRDefault="0032392F" w:rsidP="0032392F">
      <w:pPr>
        <w:pStyle w:val="Tekstzonderopmaak"/>
        <w:numPr>
          <w:ilvl w:val="0"/>
          <w:numId w:val="7"/>
        </w:numPr>
        <w:ind w:left="709" w:hanging="709"/>
        <w:rPr>
          <w:rFonts w:ascii="Times New Roman" w:hAnsi="Times New Roman"/>
          <w:sz w:val="22"/>
          <w:szCs w:val="22"/>
        </w:rPr>
      </w:pPr>
      <w:r>
        <w:rPr>
          <w:rFonts w:ascii="Times New Roman" w:hAnsi="Times New Roman"/>
          <w:sz w:val="22"/>
          <w:szCs w:val="22"/>
        </w:rPr>
        <w:t>Het rentevoordeel komt ten laste van de vrije ruimte gelet op het bestedingsdoel (studie van het kind). De waarde van dit rentevoordeel is het verschil met de normale rente op een vergelijkbare lening (zoals af te sluiten bij een bank). Ingeval er geen vergelijkbare lening zou zijn, dan moet het rentevoordeel bepaald worden ten opzichte van de heffingsrente.</w:t>
      </w:r>
    </w:p>
    <w:p w:rsidR="0032392F" w:rsidRDefault="0032392F" w:rsidP="0032392F">
      <w:pPr>
        <w:pStyle w:val="Tekstzonderopmaak"/>
        <w:numPr>
          <w:ilvl w:val="0"/>
          <w:numId w:val="7"/>
        </w:numPr>
        <w:ind w:left="709" w:hanging="709"/>
        <w:rPr>
          <w:rFonts w:ascii="Times New Roman" w:hAnsi="Times New Roman"/>
          <w:sz w:val="22"/>
          <w:szCs w:val="22"/>
        </w:rPr>
      </w:pPr>
      <w:r>
        <w:rPr>
          <w:rFonts w:ascii="Times New Roman" w:hAnsi="Times New Roman"/>
          <w:sz w:val="22"/>
          <w:szCs w:val="22"/>
        </w:rPr>
        <w:t>De regeling voor producten uit het eigen bedrijf kan worden toegepast, zodat de werknemer 20% korting krijgt op de verkoopprijs van een aangekocht product, met een maximum van € 500 korting per werknemer per jaar. Om de werknemer nog verder tegemoet te komen, kan een hogere verstrekte korting als eindheffingsloon worden aangewezen.</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Opgave 7.9</w:t>
      </w:r>
    </w:p>
    <w:p w:rsidR="0032392F" w:rsidRDefault="0032392F" w:rsidP="0032392F">
      <w:pPr>
        <w:pStyle w:val="Tekstzonderopmaak"/>
        <w:numPr>
          <w:ilvl w:val="0"/>
          <w:numId w:val="8"/>
        </w:numPr>
        <w:ind w:left="709" w:hanging="709"/>
        <w:rPr>
          <w:rFonts w:ascii="Times New Roman" w:hAnsi="Times New Roman"/>
          <w:sz w:val="22"/>
          <w:szCs w:val="22"/>
        </w:rPr>
      </w:pPr>
      <w:r>
        <w:rPr>
          <w:rFonts w:ascii="Times New Roman" w:hAnsi="Times New Roman"/>
          <w:sz w:val="22"/>
          <w:szCs w:val="22"/>
        </w:rPr>
        <w:t xml:space="preserve">Op basis van de fiscale loonsom van het voorgaande jaar (€ 3.600.000) is de vrije ruimte waarmee gerekend kan worden op jaarbasis € 43.200. Per loontijdvak (maand) is deze vrije ruimte op basis van het voorgaande jaar dus € 3.600. In de maanden januari tot en met april is het bedrag van de vergoedingen en verstrekkingen (€ 3.500) lager dan de vrije ruimte op grond van het voorgaande jaar. In de maand mei zijn de kosten € 7.500 , dat is hoger dan de maandelijkse vrije ruimte op basis van voorgaande jaar. Er hoeft geen 80% eindheffing berekend te worden,  maar dit vormt wel een indicatie dat een overschrijding van de vrije </w:t>
      </w:r>
      <w:r>
        <w:rPr>
          <w:rFonts w:ascii="Times New Roman" w:hAnsi="Times New Roman"/>
          <w:sz w:val="22"/>
          <w:szCs w:val="22"/>
        </w:rPr>
        <w:lastRenderedPageBreak/>
        <w:t>ruimte mogelijk is. In de maanden juni tot en met november is, net als in de eerste vier maanden, de vrije ruimte op basis van het voorgaande jaar hoger dan de kosten. In december zijn de totale kosten € 6.000 en  dus weer hoger dan de vrije ruimte op basis van het voorgaande jaar. In januari van het volgende jaar wordt een eindafrekening gemaakt en blijkt de vrije ruimte op basis van de werkelijke fiscale loonsom € 45.600 (€ 3.800.0000 x 1,2%) te bedragen. De totale kosten zijn (10 x € 3.500) + € 7.500 + € 6.000 = € 48.500. De te betalen  eindheffing bedraagt dus 80% x ( € 48.500 -/- € 45.600) = 80% x  € 2.900 = € 2.320.</w:t>
      </w:r>
    </w:p>
    <w:p w:rsidR="0032392F" w:rsidRDefault="0032392F" w:rsidP="0032392F">
      <w:pPr>
        <w:pStyle w:val="Tekstzonderopmaak"/>
        <w:numPr>
          <w:ilvl w:val="0"/>
          <w:numId w:val="8"/>
        </w:numPr>
        <w:ind w:left="709" w:hanging="709"/>
        <w:rPr>
          <w:rFonts w:ascii="Times New Roman" w:hAnsi="Times New Roman"/>
          <w:sz w:val="22"/>
          <w:szCs w:val="22"/>
        </w:rPr>
      </w:pPr>
      <w:r>
        <w:rPr>
          <w:rFonts w:ascii="Times New Roman" w:hAnsi="Times New Roman"/>
          <w:sz w:val="22"/>
          <w:szCs w:val="22"/>
        </w:rPr>
        <w:t>De overschrijding van de vrije ruimte is in dat geval € 6.000 hoger en leidt derhalve tot een extra eindheffing van 80% hierover ad €  4.800, dus in totaal € 7.120.</w:t>
      </w:r>
    </w:p>
    <w:p w:rsidR="0032392F" w:rsidRDefault="0032392F" w:rsidP="0032392F">
      <w:pPr>
        <w:pStyle w:val="Tekstzonderopmaak"/>
        <w:ind w:left="709" w:hanging="709"/>
        <w:rPr>
          <w:rFonts w:ascii="Times New Roman" w:hAnsi="Times New Roman"/>
          <w:sz w:val="22"/>
          <w:szCs w:val="22"/>
        </w:rPr>
      </w:pPr>
    </w:p>
    <w:p w:rsidR="0032392F"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Opgave 7.10</w:t>
      </w:r>
    </w:p>
    <w:p w:rsidR="0032392F" w:rsidRPr="006E40A1" w:rsidRDefault="0032392F" w:rsidP="0032392F">
      <w:pPr>
        <w:pStyle w:val="Tekstzonderopmaak"/>
        <w:ind w:left="709" w:hanging="709"/>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Werkkostenregeling</w:t>
      </w:r>
    </w:p>
    <w:tbl>
      <w:tblPr>
        <w:tblW w:w="9072"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4"/>
        <w:gridCol w:w="2976"/>
        <w:gridCol w:w="1418"/>
        <w:gridCol w:w="1559"/>
        <w:gridCol w:w="1418"/>
        <w:gridCol w:w="1417"/>
      </w:tblGrid>
      <w:tr w:rsidR="0032392F" w:rsidTr="00B36CA2">
        <w:trPr>
          <w:trHeight w:val="247"/>
        </w:trPr>
        <w:tc>
          <w:tcPr>
            <w:tcW w:w="284" w:type="dxa"/>
          </w:tcPr>
          <w:p w:rsidR="0032392F" w:rsidRDefault="0032392F" w:rsidP="00B36CA2">
            <w:pPr>
              <w:jc w:val="center"/>
              <w:rPr>
                <w:rFonts w:ascii="Arial" w:hAnsi="Arial"/>
                <w:b/>
                <w:snapToGrid w:val="0"/>
                <w:color w:val="000000"/>
                <w:sz w:val="16"/>
              </w:rPr>
            </w:pPr>
          </w:p>
        </w:tc>
        <w:tc>
          <w:tcPr>
            <w:tcW w:w="2976" w:type="dxa"/>
          </w:tcPr>
          <w:p w:rsidR="0032392F" w:rsidRPr="000A5E7E" w:rsidRDefault="0032392F" w:rsidP="00B36CA2">
            <w:pPr>
              <w:jc w:val="center"/>
              <w:rPr>
                <w:b/>
                <w:snapToGrid w:val="0"/>
                <w:color w:val="000000"/>
                <w:sz w:val="20"/>
              </w:rPr>
            </w:pPr>
            <w:r w:rsidRPr="000A5E7E">
              <w:rPr>
                <w:b/>
                <w:snapToGrid w:val="0"/>
                <w:color w:val="000000"/>
                <w:sz w:val="20"/>
              </w:rPr>
              <w:t>Soort vergoeding of verstrekking</w:t>
            </w:r>
          </w:p>
        </w:tc>
        <w:tc>
          <w:tcPr>
            <w:tcW w:w="1418" w:type="dxa"/>
          </w:tcPr>
          <w:p w:rsidR="0032392F" w:rsidRPr="000A5E7E" w:rsidRDefault="0032392F" w:rsidP="00B36CA2">
            <w:pPr>
              <w:jc w:val="center"/>
              <w:rPr>
                <w:b/>
                <w:snapToGrid w:val="0"/>
                <w:color w:val="000000"/>
                <w:sz w:val="20"/>
              </w:rPr>
            </w:pPr>
            <w:r w:rsidRPr="000A5E7E">
              <w:rPr>
                <w:b/>
                <w:snapToGrid w:val="0"/>
                <w:color w:val="000000"/>
                <w:sz w:val="20"/>
              </w:rPr>
              <w:t>Gerichte vrijstelling</w:t>
            </w:r>
          </w:p>
          <w:p w:rsidR="0032392F" w:rsidRPr="000A5E7E" w:rsidRDefault="0032392F" w:rsidP="00B36CA2">
            <w:pPr>
              <w:jc w:val="center"/>
              <w:rPr>
                <w:b/>
                <w:snapToGrid w:val="0"/>
                <w:color w:val="000000"/>
                <w:sz w:val="20"/>
              </w:rPr>
            </w:pPr>
            <w:r w:rsidRPr="000A5E7E">
              <w:rPr>
                <w:b/>
                <w:snapToGrid w:val="0"/>
                <w:color w:val="000000"/>
                <w:sz w:val="20"/>
              </w:rPr>
              <w:t xml:space="preserve">               </w:t>
            </w:r>
          </w:p>
        </w:tc>
        <w:tc>
          <w:tcPr>
            <w:tcW w:w="1559" w:type="dxa"/>
          </w:tcPr>
          <w:p w:rsidR="0032392F" w:rsidRPr="000A5E7E" w:rsidRDefault="0032392F" w:rsidP="00B36CA2">
            <w:pPr>
              <w:jc w:val="center"/>
              <w:rPr>
                <w:b/>
                <w:snapToGrid w:val="0"/>
                <w:color w:val="000000"/>
                <w:sz w:val="20"/>
              </w:rPr>
            </w:pPr>
            <w:r w:rsidRPr="000A5E7E">
              <w:rPr>
                <w:b/>
                <w:snapToGrid w:val="0"/>
                <w:color w:val="000000"/>
                <w:sz w:val="20"/>
              </w:rPr>
              <w:t>Nihilwaardering</w:t>
            </w:r>
          </w:p>
          <w:p w:rsidR="0032392F" w:rsidRPr="000A5E7E" w:rsidRDefault="0032392F" w:rsidP="00B36CA2">
            <w:pPr>
              <w:jc w:val="center"/>
              <w:rPr>
                <w:b/>
                <w:snapToGrid w:val="0"/>
                <w:color w:val="000000"/>
                <w:sz w:val="20"/>
              </w:rPr>
            </w:pPr>
            <w:r w:rsidRPr="000A5E7E">
              <w:rPr>
                <w:b/>
                <w:snapToGrid w:val="0"/>
                <w:color w:val="000000"/>
                <w:sz w:val="20"/>
              </w:rPr>
              <w:t xml:space="preserve"> </w:t>
            </w:r>
          </w:p>
          <w:p w:rsidR="0032392F" w:rsidRPr="000A5E7E" w:rsidRDefault="0032392F" w:rsidP="00B36CA2">
            <w:pPr>
              <w:jc w:val="center"/>
              <w:rPr>
                <w:b/>
                <w:snapToGrid w:val="0"/>
                <w:color w:val="000000"/>
                <w:sz w:val="20"/>
              </w:rPr>
            </w:pPr>
          </w:p>
        </w:tc>
        <w:tc>
          <w:tcPr>
            <w:tcW w:w="1418" w:type="dxa"/>
          </w:tcPr>
          <w:p w:rsidR="0032392F" w:rsidRPr="000A5E7E" w:rsidRDefault="0032392F" w:rsidP="00B36CA2">
            <w:pPr>
              <w:jc w:val="center"/>
              <w:rPr>
                <w:b/>
                <w:snapToGrid w:val="0"/>
                <w:color w:val="000000"/>
                <w:sz w:val="20"/>
              </w:rPr>
            </w:pPr>
            <w:r w:rsidRPr="000A5E7E">
              <w:rPr>
                <w:b/>
                <w:snapToGrid w:val="0"/>
                <w:color w:val="000000"/>
                <w:sz w:val="20"/>
              </w:rPr>
              <w:t>Verplicht loon van de werknemer</w:t>
            </w:r>
          </w:p>
          <w:p w:rsidR="0032392F" w:rsidRPr="000A5E7E" w:rsidRDefault="0032392F" w:rsidP="00B36CA2">
            <w:pPr>
              <w:jc w:val="center"/>
              <w:rPr>
                <w:b/>
                <w:snapToGrid w:val="0"/>
                <w:color w:val="000000"/>
                <w:sz w:val="20"/>
              </w:rPr>
            </w:pPr>
          </w:p>
        </w:tc>
        <w:tc>
          <w:tcPr>
            <w:tcW w:w="1417" w:type="dxa"/>
          </w:tcPr>
          <w:p w:rsidR="0032392F" w:rsidRPr="000A5E7E" w:rsidRDefault="0032392F" w:rsidP="00B36CA2">
            <w:pPr>
              <w:jc w:val="center"/>
              <w:rPr>
                <w:b/>
                <w:snapToGrid w:val="0"/>
                <w:color w:val="000000"/>
                <w:sz w:val="20"/>
              </w:rPr>
            </w:pPr>
            <w:r w:rsidRPr="000A5E7E">
              <w:rPr>
                <w:b/>
                <w:snapToGrid w:val="0"/>
                <w:color w:val="000000"/>
                <w:sz w:val="20"/>
              </w:rPr>
              <w:t>Kan in de vrije ruimte worden opgenomen</w:t>
            </w:r>
          </w:p>
          <w:p w:rsidR="0032392F" w:rsidRPr="000A5E7E" w:rsidRDefault="0032392F" w:rsidP="00B36CA2">
            <w:pPr>
              <w:jc w:val="center"/>
              <w:rPr>
                <w:b/>
                <w:snapToGrid w:val="0"/>
                <w:color w:val="000000"/>
                <w:sz w:val="20"/>
              </w:rPr>
            </w:pPr>
          </w:p>
          <w:p w:rsidR="0032392F" w:rsidRPr="000A5E7E" w:rsidRDefault="0032392F" w:rsidP="00B36CA2">
            <w:pPr>
              <w:jc w:val="center"/>
              <w:rPr>
                <w:b/>
                <w:snapToGrid w:val="0"/>
                <w:color w:val="000000"/>
                <w:sz w:val="20"/>
              </w:rPr>
            </w:pP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a.</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Motor van de zaak, waarmee maandelijks 200 kilometer in privé wordt gereden </w:t>
            </w:r>
          </w:p>
        </w:tc>
        <w:tc>
          <w:tcPr>
            <w:tcW w:w="1418" w:type="dxa"/>
          </w:tcPr>
          <w:p w:rsidR="0032392F" w:rsidRPr="000A5E7E" w:rsidRDefault="0032392F" w:rsidP="00B36CA2">
            <w:pPr>
              <w:jc w:val="center"/>
              <w:rPr>
                <w:snapToGrid w:val="0"/>
                <w:color w:val="000000"/>
                <w:sz w:val="20"/>
              </w:rPr>
            </w:pPr>
          </w:p>
        </w:tc>
        <w:tc>
          <w:tcPr>
            <w:tcW w:w="1559" w:type="dxa"/>
          </w:tcPr>
          <w:p w:rsidR="0032392F" w:rsidRPr="000A5E7E" w:rsidRDefault="0032392F" w:rsidP="00B36CA2">
            <w:pPr>
              <w:jc w:val="center"/>
              <w:rPr>
                <w:snapToGrid w:val="0"/>
                <w:color w:val="000000"/>
                <w:sz w:val="20"/>
              </w:rPr>
            </w:pPr>
          </w:p>
        </w:tc>
        <w:tc>
          <w:tcPr>
            <w:tcW w:w="1418" w:type="dxa"/>
          </w:tcPr>
          <w:p w:rsidR="0032392F" w:rsidRPr="000A5E7E" w:rsidRDefault="0032392F" w:rsidP="00B36CA2">
            <w:pPr>
              <w:jc w:val="center"/>
              <w:rPr>
                <w:snapToGrid w:val="0"/>
                <w:color w:val="000000"/>
                <w:sz w:val="20"/>
              </w:rPr>
            </w:pPr>
            <w:r w:rsidRPr="000A5E7E">
              <w:rPr>
                <w:snapToGrid w:val="0"/>
                <w:color w:val="000000"/>
                <w:sz w:val="20"/>
              </w:rPr>
              <w:t xml:space="preserve"> </w:t>
            </w:r>
          </w:p>
        </w:tc>
        <w:tc>
          <w:tcPr>
            <w:tcW w:w="1417" w:type="dxa"/>
          </w:tcPr>
          <w:p w:rsidR="0032392F" w:rsidRPr="000A5E7E" w:rsidRDefault="0032392F" w:rsidP="00B36CA2">
            <w:pPr>
              <w:jc w:val="center"/>
              <w:rPr>
                <w:snapToGrid w:val="0"/>
                <w:color w:val="000000"/>
                <w:sz w:val="20"/>
              </w:rPr>
            </w:pPr>
            <w:r w:rsidRPr="000A5E7E">
              <w:rPr>
                <w:snapToGrid w:val="0"/>
                <w:color w:val="000000"/>
                <w:sz w:val="20"/>
              </w:rPr>
              <w:t xml:space="preserve">X </w:t>
            </w: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b.</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Bovenmatige reiskostenvergoeding van € 0,19 per kilometer </w:t>
            </w:r>
          </w:p>
        </w:tc>
        <w:tc>
          <w:tcPr>
            <w:tcW w:w="1418" w:type="dxa"/>
          </w:tcPr>
          <w:p w:rsidR="0032392F" w:rsidRPr="000A5E7E" w:rsidRDefault="0032392F" w:rsidP="00B36CA2">
            <w:pPr>
              <w:jc w:val="center"/>
              <w:rPr>
                <w:snapToGrid w:val="0"/>
                <w:color w:val="000000"/>
                <w:sz w:val="20"/>
              </w:rPr>
            </w:pPr>
          </w:p>
        </w:tc>
        <w:tc>
          <w:tcPr>
            <w:tcW w:w="1559" w:type="dxa"/>
          </w:tcPr>
          <w:p w:rsidR="0032392F" w:rsidRPr="000A5E7E" w:rsidRDefault="0032392F" w:rsidP="00B36CA2">
            <w:pPr>
              <w:jc w:val="center"/>
              <w:rPr>
                <w:snapToGrid w:val="0"/>
                <w:color w:val="000000"/>
                <w:sz w:val="20"/>
              </w:rPr>
            </w:pPr>
          </w:p>
        </w:tc>
        <w:tc>
          <w:tcPr>
            <w:tcW w:w="1418" w:type="dxa"/>
          </w:tcPr>
          <w:p w:rsidR="0032392F" w:rsidRPr="000A5E7E" w:rsidRDefault="0032392F" w:rsidP="00B36CA2">
            <w:pPr>
              <w:jc w:val="center"/>
              <w:rPr>
                <w:snapToGrid w:val="0"/>
                <w:color w:val="000000"/>
                <w:sz w:val="20"/>
              </w:rPr>
            </w:pPr>
          </w:p>
        </w:tc>
        <w:tc>
          <w:tcPr>
            <w:tcW w:w="1417" w:type="dxa"/>
          </w:tcPr>
          <w:p w:rsidR="0032392F" w:rsidRPr="000A5E7E" w:rsidRDefault="0032392F" w:rsidP="00B36CA2">
            <w:pPr>
              <w:jc w:val="center"/>
              <w:rPr>
                <w:snapToGrid w:val="0"/>
                <w:color w:val="000000"/>
                <w:sz w:val="20"/>
              </w:rPr>
            </w:pPr>
            <w:r w:rsidRPr="000A5E7E">
              <w:rPr>
                <w:snapToGrid w:val="0"/>
                <w:color w:val="000000"/>
                <w:sz w:val="20"/>
              </w:rPr>
              <w:t>X</w:t>
            </w: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c.</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Maaltijden tijdens dienstreizen </w:t>
            </w:r>
          </w:p>
        </w:tc>
        <w:tc>
          <w:tcPr>
            <w:tcW w:w="1418" w:type="dxa"/>
          </w:tcPr>
          <w:p w:rsidR="0032392F" w:rsidRPr="000A5E7E" w:rsidRDefault="0032392F" w:rsidP="00B36CA2">
            <w:pPr>
              <w:jc w:val="center"/>
              <w:rPr>
                <w:snapToGrid w:val="0"/>
                <w:color w:val="000000"/>
                <w:sz w:val="20"/>
              </w:rPr>
            </w:pPr>
            <w:r w:rsidRPr="000A5E7E">
              <w:rPr>
                <w:snapToGrid w:val="0"/>
                <w:color w:val="000000"/>
                <w:sz w:val="20"/>
              </w:rPr>
              <w:t>X</w:t>
            </w:r>
          </w:p>
        </w:tc>
        <w:tc>
          <w:tcPr>
            <w:tcW w:w="1559" w:type="dxa"/>
          </w:tcPr>
          <w:p w:rsidR="0032392F" w:rsidRPr="000A5E7E" w:rsidRDefault="0032392F" w:rsidP="00B36CA2">
            <w:pPr>
              <w:jc w:val="center"/>
              <w:rPr>
                <w:snapToGrid w:val="0"/>
                <w:color w:val="000000"/>
                <w:sz w:val="20"/>
              </w:rPr>
            </w:pPr>
          </w:p>
        </w:tc>
        <w:tc>
          <w:tcPr>
            <w:tcW w:w="1418" w:type="dxa"/>
          </w:tcPr>
          <w:p w:rsidR="0032392F" w:rsidRPr="000A5E7E" w:rsidRDefault="0032392F" w:rsidP="00B36CA2">
            <w:pPr>
              <w:jc w:val="center"/>
              <w:rPr>
                <w:snapToGrid w:val="0"/>
                <w:color w:val="000000"/>
                <w:sz w:val="20"/>
              </w:rPr>
            </w:pPr>
          </w:p>
        </w:tc>
        <w:tc>
          <w:tcPr>
            <w:tcW w:w="1417" w:type="dxa"/>
          </w:tcPr>
          <w:p w:rsidR="0032392F" w:rsidRPr="000A5E7E" w:rsidRDefault="0032392F" w:rsidP="00B36CA2">
            <w:pPr>
              <w:jc w:val="center"/>
              <w:rPr>
                <w:snapToGrid w:val="0"/>
                <w:color w:val="000000"/>
                <w:sz w:val="20"/>
              </w:rPr>
            </w:pP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d.</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Ter beschikking gestelde telefoon die </w:t>
            </w:r>
            <w:r>
              <w:rPr>
                <w:snapToGrid w:val="0"/>
                <w:color w:val="000000"/>
                <w:sz w:val="20"/>
              </w:rPr>
              <w:t>noodzakelijk geacht wordt voor de dienstbetrekking</w:t>
            </w:r>
            <w:r w:rsidRPr="000A5E7E">
              <w:rPr>
                <w:snapToGrid w:val="0"/>
                <w:color w:val="000000"/>
                <w:sz w:val="20"/>
              </w:rPr>
              <w:t xml:space="preserve"> </w:t>
            </w:r>
          </w:p>
        </w:tc>
        <w:tc>
          <w:tcPr>
            <w:tcW w:w="1418" w:type="dxa"/>
          </w:tcPr>
          <w:p w:rsidR="0032392F" w:rsidRPr="000A5E7E" w:rsidRDefault="0032392F" w:rsidP="00B36CA2">
            <w:pPr>
              <w:jc w:val="center"/>
              <w:rPr>
                <w:snapToGrid w:val="0"/>
                <w:color w:val="000000"/>
                <w:sz w:val="20"/>
              </w:rPr>
            </w:pPr>
          </w:p>
        </w:tc>
        <w:tc>
          <w:tcPr>
            <w:tcW w:w="1559" w:type="dxa"/>
          </w:tcPr>
          <w:p w:rsidR="0032392F" w:rsidRPr="000A5E7E" w:rsidRDefault="0032392F" w:rsidP="00B36CA2">
            <w:pPr>
              <w:jc w:val="center"/>
              <w:rPr>
                <w:snapToGrid w:val="0"/>
                <w:color w:val="000000"/>
                <w:sz w:val="20"/>
              </w:rPr>
            </w:pPr>
            <w:r w:rsidRPr="000A5E7E">
              <w:rPr>
                <w:snapToGrid w:val="0"/>
                <w:color w:val="000000"/>
                <w:sz w:val="20"/>
              </w:rPr>
              <w:t>X</w:t>
            </w:r>
          </w:p>
        </w:tc>
        <w:tc>
          <w:tcPr>
            <w:tcW w:w="1418" w:type="dxa"/>
          </w:tcPr>
          <w:p w:rsidR="0032392F" w:rsidRPr="000A5E7E" w:rsidRDefault="0032392F" w:rsidP="00B36CA2">
            <w:pPr>
              <w:jc w:val="center"/>
              <w:rPr>
                <w:snapToGrid w:val="0"/>
                <w:color w:val="000000"/>
                <w:sz w:val="20"/>
              </w:rPr>
            </w:pPr>
          </w:p>
        </w:tc>
        <w:tc>
          <w:tcPr>
            <w:tcW w:w="1417" w:type="dxa"/>
          </w:tcPr>
          <w:p w:rsidR="0032392F" w:rsidRPr="000A5E7E" w:rsidRDefault="0032392F" w:rsidP="00B36CA2">
            <w:pPr>
              <w:jc w:val="center"/>
              <w:rPr>
                <w:snapToGrid w:val="0"/>
                <w:color w:val="000000"/>
                <w:sz w:val="20"/>
              </w:rPr>
            </w:pPr>
          </w:p>
          <w:p w:rsidR="0032392F" w:rsidRPr="000A5E7E" w:rsidRDefault="0032392F" w:rsidP="00B36CA2">
            <w:pPr>
              <w:jc w:val="center"/>
              <w:rPr>
                <w:snapToGrid w:val="0"/>
                <w:color w:val="000000"/>
                <w:sz w:val="20"/>
              </w:rPr>
            </w:pPr>
            <w:r w:rsidRPr="000A5E7E">
              <w:rPr>
                <w:snapToGrid w:val="0"/>
                <w:color w:val="000000"/>
                <w:sz w:val="20"/>
              </w:rPr>
              <w:t>Ook goed</w:t>
            </w: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e.</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Parkeerboete vanwege onjuist parkeren in Almere </w:t>
            </w:r>
          </w:p>
        </w:tc>
        <w:tc>
          <w:tcPr>
            <w:tcW w:w="1418" w:type="dxa"/>
          </w:tcPr>
          <w:p w:rsidR="0032392F" w:rsidRPr="000A5E7E" w:rsidRDefault="0032392F" w:rsidP="00B36CA2">
            <w:pPr>
              <w:jc w:val="center"/>
              <w:rPr>
                <w:snapToGrid w:val="0"/>
                <w:color w:val="000000"/>
                <w:sz w:val="20"/>
              </w:rPr>
            </w:pPr>
          </w:p>
        </w:tc>
        <w:tc>
          <w:tcPr>
            <w:tcW w:w="1559" w:type="dxa"/>
          </w:tcPr>
          <w:p w:rsidR="0032392F" w:rsidRPr="000A5E7E" w:rsidRDefault="0032392F" w:rsidP="00B36CA2">
            <w:pPr>
              <w:jc w:val="center"/>
              <w:rPr>
                <w:snapToGrid w:val="0"/>
                <w:color w:val="000000"/>
                <w:sz w:val="20"/>
              </w:rPr>
            </w:pPr>
          </w:p>
        </w:tc>
        <w:tc>
          <w:tcPr>
            <w:tcW w:w="1418" w:type="dxa"/>
          </w:tcPr>
          <w:p w:rsidR="0032392F" w:rsidRPr="000A5E7E" w:rsidRDefault="0032392F" w:rsidP="00B36CA2">
            <w:pPr>
              <w:jc w:val="center"/>
              <w:rPr>
                <w:snapToGrid w:val="0"/>
                <w:color w:val="000000"/>
                <w:sz w:val="20"/>
              </w:rPr>
            </w:pPr>
            <w:r w:rsidRPr="000A5E7E">
              <w:rPr>
                <w:snapToGrid w:val="0"/>
                <w:color w:val="000000"/>
                <w:sz w:val="20"/>
              </w:rPr>
              <w:t>X</w:t>
            </w:r>
          </w:p>
        </w:tc>
        <w:tc>
          <w:tcPr>
            <w:tcW w:w="1417" w:type="dxa"/>
          </w:tcPr>
          <w:p w:rsidR="0032392F" w:rsidRPr="000A5E7E" w:rsidRDefault="0032392F" w:rsidP="00B36CA2">
            <w:pPr>
              <w:jc w:val="center"/>
              <w:rPr>
                <w:snapToGrid w:val="0"/>
                <w:color w:val="000000"/>
                <w:sz w:val="20"/>
              </w:rPr>
            </w:pP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f.</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Bedrijfsfitness op de werkplek </w:t>
            </w:r>
          </w:p>
        </w:tc>
        <w:tc>
          <w:tcPr>
            <w:tcW w:w="1418" w:type="dxa"/>
          </w:tcPr>
          <w:p w:rsidR="0032392F" w:rsidRPr="000A5E7E" w:rsidRDefault="0032392F" w:rsidP="00B36CA2">
            <w:pPr>
              <w:jc w:val="center"/>
              <w:rPr>
                <w:sz w:val="20"/>
              </w:rPr>
            </w:pPr>
          </w:p>
        </w:tc>
        <w:tc>
          <w:tcPr>
            <w:tcW w:w="1559" w:type="dxa"/>
          </w:tcPr>
          <w:p w:rsidR="0032392F" w:rsidRPr="000A5E7E" w:rsidRDefault="0032392F" w:rsidP="00B36CA2">
            <w:pPr>
              <w:jc w:val="center"/>
              <w:rPr>
                <w:snapToGrid w:val="0"/>
                <w:color w:val="000000"/>
                <w:sz w:val="20"/>
              </w:rPr>
            </w:pPr>
            <w:r w:rsidRPr="000A5E7E">
              <w:rPr>
                <w:snapToGrid w:val="0"/>
                <w:color w:val="000000"/>
                <w:sz w:val="20"/>
              </w:rPr>
              <w:t>X</w:t>
            </w:r>
          </w:p>
        </w:tc>
        <w:tc>
          <w:tcPr>
            <w:tcW w:w="1418" w:type="dxa"/>
          </w:tcPr>
          <w:p w:rsidR="0032392F" w:rsidRPr="000A5E7E" w:rsidRDefault="0032392F" w:rsidP="00B36CA2">
            <w:pPr>
              <w:jc w:val="center"/>
              <w:rPr>
                <w:snapToGrid w:val="0"/>
                <w:color w:val="000000"/>
                <w:sz w:val="20"/>
              </w:rPr>
            </w:pPr>
          </w:p>
        </w:tc>
        <w:tc>
          <w:tcPr>
            <w:tcW w:w="1417" w:type="dxa"/>
          </w:tcPr>
          <w:p w:rsidR="0032392F" w:rsidRPr="000A5E7E" w:rsidRDefault="0032392F" w:rsidP="00B36CA2">
            <w:pPr>
              <w:jc w:val="center"/>
              <w:rPr>
                <w:snapToGrid w:val="0"/>
                <w:color w:val="000000"/>
                <w:sz w:val="20"/>
              </w:rPr>
            </w:pPr>
            <w:r w:rsidRPr="000A5E7E">
              <w:rPr>
                <w:snapToGrid w:val="0"/>
                <w:color w:val="000000"/>
                <w:sz w:val="20"/>
              </w:rPr>
              <w:t xml:space="preserve"> </w:t>
            </w:r>
          </w:p>
          <w:p w:rsidR="0032392F" w:rsidRPr="000A5E7E" w:rsidRDefault="0032392F" w:rsidP="00B36CA2">
            <w:pPr>
              <w:jc w:val="center"/>
              <w:rPr>
                <w:snapToGrid w:val="0"/>
                <w:color w:val="000000"/>
                <w:sz w:val="20"/>
              </w:rPr>
            </w:pPr>
            <w:r w:rsidRPr="000A5E7E">
              <w:rPr>
                <w:snapToGrid w:val="0"/>
                <w:color w:val="000000"/>
                <w:sz w:val="20"/>
              </w:rPr>
              <w:t>Ook goed</w:t>
            </w: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g.</w:t>
            </w:r>
          </w:p>
        </w:tc>
        <w:tc>
          <w:tcPr>
            <w:tcW w:w="2976" w:type="dxa"/>
          </w:tcPr>
          <w:p w:rsidR="0032392F" w:rsidRPr="000A5E7E" w:rsidRDefault="0032392F" w:rsidP="00B36CA2">
            <w:pPr>
              <w:rPr>
                <w:snapToGrid w:val="0"/>
                <w:color w:val="000000"/>
                <w:sz w:val="20"/>
              </w:rPr>
            </w:pPr>
            <w:r>
              <w:rPr>
                <w:snapToGrid w:val="0"/>
                <w:color w:val="000000"/>
                <w:sz w:val="20"/>
              </w:rPr>
              <w:t>Cadeau</w:t>
            </w:r>
            <w:r w:rsidRPr="000A5E7E">
              <w:rPr>
                <w:snapToGrid w:val="0"/>
                <w:color w:val="000000"/>
                <w:sz w:val="20"/>
              </w:rPr>
              <w:t xml:space="preserve">s voor de kinderen tijdens Sinterklaasfeest op de werkplek </w:t>
            </w:r>
          </w:p>
        </w:tc>
        <w:tc>
          <w:tcPr>
            <w:tcW w:w="1418" w:type="dxa"/>
          </w:tcPr>
          <w:p w:rsidR="0032392F" w:rsidRPr="000A5E7E" w:rsidRDefault="0032392F" w:rsidP="00B36CA2">
            <w:pPr>
              <w:jc w:val="center"/>
              <w:rPr>
                <w:sz w:val="20"/>
              </w:rPr>
            </w:pPr>
          </w:p>
        </w:tc>
        <w:tc>
          <w:tcPr>
            <w:tcW w:w="1559" w:type="dxa"/>
          </w:tcPr>
          <w:p w:rsidR="0032392F" w:rsidRPr="000A5E7E" w:rsidRDefault="0032392F" w:rsidP="00B36CA2">
            <w:pPr>
              <w:jc w:val="center"/>
              <w:rPr>
                <w:snapToGrid w:val="0"/>
                <w:color w:val="000000"/>
                <w:sz w:val="20"/>
              </w:rPr>
            </w:pPr>
          </w:p>
        </w:tc>
        <w:tc>
          <w:tcPr>
            <w:tcW w:w="1418" w:type="dxa"/>
          </w:tcPr>
          <w:p w:rsidR="0032392F" w:rsidRPr="000A5E7E" w:rsidRDefault="0032392F" w:rsidP="00B36CA2">
            <w:pPr>
              <w:jc w:val="center"/>
              <w:rPr>
                <w:snapToGrid w:val="0"/>
                <w:color w:val="000000"/>
                <w:sz w:val="20"/>
              </w:rPr>
            </w:pPr>
          </w:p>
        </w:tc>
        <w:tc>
          <w:tcPr>
            <w:tcW w:w="1417" w:type="dxa"/>
          </w:tcPr>
          <w:p w:rsidR="0032392F" w:rsidRPr="000A5E7E" w:rsidRDefault="0032392F" w:rsidP="00B36CA2">
            <w:pPr>
              <w:jc w:val="center"/>
              <w:rPr>
                <w:snapToGrid w:val="0"/>
                <w:color w:val="000000"/>
                <w:sz w:val="20"/>
              </w:rPr>
            </w:pPr>
            <w:r w:rsidRPr="000A5E7E">
              <w:rPr>
                <w:snapToGrid w:val="0"/>
                <w:color w:val="000000"/>
                <w:sz w:val="20"/>
              </w:rPr>
              <w:t>X</w:t>
            </w: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h.</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Spijkerbroek van goede kwaliteit voor de onderhoudsmedewerkers van het bedrijf  </w:t>
            </w:r>
          </w:p>
        </w:tc>
        <w:tc>
          <w:tcPr>
            <w:tcW w:w="1418" w:type="dxa"/>
          </w:tcPr>
          <w:p w:rsidR="0032392F" w:rsidRPr="000A5E7E" w:rsidRDefault="0032392F" w:rsidP="00B36CA2">
            <w:pPr>
              <w:jc w:val="center"/>
              <w:rPr>
                <w:sz w:val="20"/>
              </w:rPr>
            </w:pPr>
          </w:p>
        </w:tc>
        <w:tc>
          <w:tcPr>
            <w:tcW w:w="1559" w:type="dxa"/>
          </w:tcPr>
          <w:p w:rsidR="0032392F" w:rsidRPr="000A5E7E" w:rsidRDefault="0032392F" w:rsidP="00B36CA2">
            <w:pPr>
              <w:jc w:val="center"/>
              <w:rPr>
                <w:snapToGrid w:val="0"/>
                <w:color w:val="000000"/>
                <w:sz w:val="20"/>
              </w:rPr>
            </w:pPr>
          </w:p>
        </w:tc>
        <w:tc>
          <w:tcPr>
            <w:tcW w:w="1418" w:type="dxa"/>
          </w:tcPr>
          <w:p w:rsidR="0032392F" w:rsidRPr="000A5E7E" w:rsidRDefault="0032392F" w:rsidP="00B36CA2">
            <w:pPr>
              <w:jc w:val="center"/>
              <w:rPr>
                <w:snapToGrid w:val="0"/>
                <w:color w:val="000000"/>
                <w:sz w:val="20"/>
              </w:rPr>
            </w:pPr>
          </w:p>
        </w:tc>
        <w:tc>
          <w:tcPr>
            <w:tcW w:w="1417" w:type="dxa"/>
          </w:tcPr>
          <w:p w:rsidR="0032392F" w:rsidRPr="000A5E7E" w:rsidRDefault="0032392F" w:rsidP="00B36CA2">
            <w:pPr>
              <w:jc w:val="center"/>
              <w:rPr>
                <w:snapToGrid w:val="0"/>
                <w:color w:val="000000"/>
                <w:sz w:val="20"/>
              </w:rPr>
            </w:pPr>
            <w:r w:rsidRPr="000A5E7E">
              <w:rPr>
                <w:snapToGrid w:val="0"/>
                <w:color w:val="000000"/>
                <w:sz w:val="20"/>
              </w:rPr>
              <w:t>X</w:t>
            </w: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i.</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Extraterritoriale kosten </w:t>
            </w:r>
          </w:p>
        </w:tc>
        <w:tc>
          <w:tcPr>
            <w:tcW w:w="1418" w:type="dxa"/>
          </w:tcPr>
          <w:p w:rsidR="0032392F" w:rsidRPr="000A5E7E" w:rsidRDefault="0032392F" w:rsidP="00B36CA2">
            <w:pPr>
              <w:jc w:val="center"/>
              <w:rPr>
                <w:sz w:val="20"/>
              </w:rPr>
            </w:pPr>
            <w:r w:rsidRPr="000A5E7E">
              <w:rPr>
                <w:sz w:val="20"/>
              </w:rPr>
              <w:t>X</w:t>
            </w:r>
          </w:p>
        </w:tc>
        <w:tc>
          <w:tcPr>
            <w:tcW w:w="1559" w:type="dxa"/>
          </w:tcPr>
          <w:p w:rsidR="0032392F" w:rsidRPr="000A5E7E" w:rsidRDefault="0032392F" w:rsidP="00B36CA2">
            <w:pPr>
              <w:jc w:val="center"/>
              <w:rPr>
                <w:snapToGrid w:val="0"/>
                <w:color w:val="000000"/>
                <w:sz w:val="20"/>
              </w:rPr>
            </w:pPr>
          </w:p>
        </w:tc>
        <w:tc>
          <w:tcPr>
            <w:tcW w:w="1418" w:type="dxa"/>
          </w:tcPr>
          <w:p w:rsidR="0032392F" w:rsidRPr="000A5E7E" w:rsidRDefault="0032392F" w:rsidP="00B36CA2">
            <w:pPr>
              <w:jc w:val="center"/>
              <w:rPr>
                <w:snapToGrid w:val="0"/>
                <w:color w:val="000000"/>
                <w:sz w:val="20"/>
              </w:rPr>
            </w:pPr>
          </w:p>
        </w:tc>
        <w:tc>
          <w:tcPr>
            <w:tcW w:w="1417" w:type="dxa"/>
          </w:tcPr>
          <w:p w:rsidR="0032392F" w:rsidRPr="000A5E7E" w:rsidRDefault="0032392F" w:rsidP="00B36CA2">
            <w:pPr>
              <w:jc w:val="center"/>
              <w:rPr>
                <w:snapToGrid w:val="0"/>
                <w:color w:val="000000"/>
                <w:sz w:val="20"/>
              </w:rPr>
            </w:pPr>
            <w:r w:rsidRPr="000A5E7E">
              <w:rPr>
                <w:snapToGrid w:val="0"/>
                <w:color w:val="000000"/>
                <w:sz w:val="20"/>
              </w:rPr>
              <w:t xml:space="preserve"> </w:t>
            </w:r>
          </w:p>
          <w:p w:rsidR="0032392F" w:rsidRPr="000A5E7E" w:rsidRDefault="0032392F" w:rsidP="00B36CA2">
            <w:pPr>
              <w:jc w:val="center"/>
              <w:rPr>
                <w:snapToGrid w:val="0"/>
                <w:color w:val="000000"/>
                <w:sz w:val="20"/>
              </w:rPr>
            </w:pPr>
            <w:r w:rsidRPr="000A5E7E">
              <w:rPr>
                <w:snapToGrid w:val="0"/>
                <w:color w:val="000000"/>
                <w:sz w:val="20"/>
              </w:rPr>
              <w:t>Ook goed</w:t>
            </w:r>
          </w:p>
        </w:tc>
      </w:tr>
      <w:tr w:rsidR="0032392F" w:rsidRPr="000A5E7E" w:rsidTr="00B36CA2">
        <w:trPr>
          <w:trHeight w:val="247"/>
        </w:trPr>
        <w:tc>
          <w:tcPr>
            <w:tcW w:w="284" w:type="dxa"/>
          </w:tcPr>
          <w:p w:rsidR="0032392F" w:rsidRPr="000A5E7E" w:rsidRDefault="0032392F" w:rsidP="00B36CA2">
            <w:pPr>
              <w:rPr>
                <w:snapToGrid w:val="0"/>
                <w:color w:val="000000"/>
                <w:sz w:val="20"/>
              </w:rPr>
            </w:pPr>
            <w:r w:rsidRPr="000A5E7E">
              <w:rPr>
                <w:snapToGrid w:val="0"/>
                <w:color w:val="000000"/>
                <w:sz w:val="20"/>
              </w:rPr>
              <w:t>j.</w:t>
            </w:r>
          </w:p>
        </w:tc>
        <w:tc>
          <w:tcPr>
            <w:tcW w:w="2976" w:type="dxa"/>
          </w:tcPr>
          <w:p w:rsidR="0032392F" w:rsidRPr="000A5E7E" w:rsidRDefault="0032392F" w:rsidP="00B36CA2">
            <w:pPr>
              <w:rPr>
                <w:snapToGrid w:val="0"/>
                <w:color w:val="000000"/>
                <w:sz w:val="20"/>
              </w:rPr>
            </w:pPr>
            <w:r w:rsidRPr="000A5E7E">
              <w:rPr>
                <w:snapToGrid w:val="0"/>
                <w:color w:val="000000"/>
                <w:sz w:val="20"/>
              </w:rPr>
              <w:t xml:space="preserve">Producten uit eigen bedrijf voor de huidige actieve werknemers </w:t>
            </w:r>
          </w:p>
        </w:tc>
        <w:tc>
          <w:tcPr>
            <w:tcW w:w="1418" w:type="dxa"/>
          </w:tcPr>
          <w:p w:rsidR="0032392F" w:rsidRPr="000A5E7E" w:rsidRDefault="0032392F" w:rsidP="00B36CA2">
            <w:pPr>
              <w:jc w:val="center"/>
              <w:rPr>
                <w:sz w:val="20"/>
              </w:rPr>
            </w:pPr>
          </w:p>
        </w:tc>
        <w:tc>
          <w:tcPr>
            <w:tcW w:w="1559" w:type="dxa"/>
          </w:tcPr>
          <w:p w:rsidR="0032392F" w:rsidRPr="000A5E7E" w:rsidRDefault="0032392F" w:rsidP="00B36CA2">
            <w:pPr>
              <w:jc w:val="center"/>
              <w:rPr>
                <w:snapToGrid w:val="0"/>
                <w:color w:val="000000"/>
                <w:sz w:val="20"/>
              </w:rPr>
            </w:pPr>
          </w:p>
        </w:tc>
        <w:tc>
          <w:tcPr>
            <w:tcW w:w="1418" w:type="dxa"/>
          </w:tcPr>
          <w:p w:rsidR="0032392F" w:rsidRPr="000A5E7E" w:rsidRDefault="0032392F" w:rsidP="00B36CA2">
            <w:pPr>
              <w:jc w:val="center"/>
              <w:rPr>
                <w:snapToGrid w:val="0"/>
                <w:color w:val="000000"/>
                <w:sz w:val="20"/>
              </w:rPr>
            </w:pPr>
          </w:p>
        </w:tc>
        <w:tc>
          <w:tcPr>
            <w:tcW w:w="1417" w:type="dxa"/>
          </w:tcPr>
          <w:p w:rsidR="0032392F" w:rsidRPr="000A5E7E" w:rsidRDefault="0032392F" w:rsidP="00B36CA2">
            <w:pPr>
              <w:jc w:val="center"/>
              <w:rPr>
                <w:snapToGrid w:val="0"/>
                <w:color w:val="000000"/>
                <w:sz w:val="20"/>
              </w:rPr>
            </w:pPr>
            <w:r w:rsidRPr="000A5E7E">
              <w:rPr>
                <w:snapToGrid w:val="0"/>
                <w:color w:val="000000"/>
                <w:sz w:val="20"/>
              </w:rPr>
              <w:t>X</w:t>
            </w:r>
          </w:p>
        </w:tc>
      </w:tr>
    </w:tbl>
    <w:p w:rsidR="0032392F" w:rsidRDefault="0032392F" w:rsidP="0032392F">
      <w:pPr>
        <w:rPr>
          <w:rFonts w:ascii="Arial" w:hAnsi="Arial"/>
          <w:b/>
          <w:sz w:val="28"/>
        </w:rPr>
      </w:pP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Opgave 7.11</w:t>
      </w:r>
    </w:p>
    <w:p w:rsidR="0032392F" w:rsidRPr="004B3FDF" w:rsidRDefault="0032392F" w:rsidP="0032392F">
      <w:pPr>
        <w:pStyle w:val="Lijstalinea"/>
        <w:numPr>
          <w:ilvl w:val="0"/>
          <w:numId w:val="9"/>
        </w:numPr>
        <w:rPr>
          <w:szCs w:val="22"/>
        </w:rPr>
      </w:pPr>
      <w:r w:rsidRPr="004B3FDF">
        <w:rPr>
          <w:szCs w:val="22"/>
        </w:rPr>
        <w:t xml:space="preserve">Onjuist. </w:t>
      </w:r>
      <w:r>
        <w:rPr>
          <w:szCs w:val="22"/>
        </w:rPr>
        <w:t xml:space="preserve"> Alle vormen loon, maar mits aangewezen komen </w:t>
      </w:r>
      <w:r w:rsidRPr="004B3FDF">
        <w:rPr>
          <w:szCs w:val="22"/>
        </w:rPr>
        <w:t>gerichte vrijstellingen</w:t>
      </w:r>
      <w:r>
        <w:rPr>
          <w:szCs w:val="22"/>
        </w:rPr>
        <w:t xml:space="preserve"> en </w:t>
      </w:r>
      <w:r w:rsidRPr="004B3FDF">
        <w:rPr>
          <w:szCs w:val="22"/>
        </w:rPr>
        <w:t>nihilwaarder</w:t>
      </w:r>
      <w:r>
        <w:rPr>
          <w:szCs w:val="22"/>
        </w:rPr>
        <w:t>ingen niet ten laste van  de vrije ruimte van 1,2</w:t>
      </w:r>
      <w:r w:rsidRPr="004B3FDF">
        <w:rPr>
          <w:szCs w:val="22"/>
        </w:rPr>
        <w:t xml:space="preserve">% van de fiscale loonsom. </w:t>
      </w:r>
    </w:p>
    <w:p w:rsidR="0032392F" w:rsidRPr="004B3FDF" w:rsidRDefault="0032392F" w:rsidP="0032392F">
      <w:pPr>
        <w:pStyle w:val="Lijstalinea"/>
        <w:numPr>
          <w:ilvl w:val="0"/>
          <w:numId w:val="9"/>
        </w:numPr>
        <w:rPr>
          <w:szCs w:val="22"/>
        </w:rPr>
      </w:pPr>
      <w:r w:rsidRPr="004B3FDF">
        <w:rPr>
          <w:szCs w:val="22"/>
        </w:rPr>
        <w:t xml:space="preserve">Onjuist. </w:t>
      </w:r>
      <w:r>
        <w:rPr>
          <w:szCs w:val="22"/>
        </w:rPr>
        <w:t>Meestal geldt de factuurwaarde inclusief  btw. Als er geen factuur is of een factuur van een verbonden vennootschap, geldt de waarde in het economisch verkeer (ofwel de gebruikelijke verkoopwaarde). Soms is er sprake van forfaitaire waarderingen, zoals bij een maaltijd die in het bedrijfsrestaurant wordt genuttigd.</w:t>
      </w:r>
    </w:p>
    <w:p w:rsidR="0032392F" w:rsidRPr="004B3FDF" w:rsidRDefault="0032392F" w:rsidP="0032392F">
      <w:pPr>
        <w:pStyle w:val="Lijstalinea"/>
        <w:numPr>
          <w:ilvl w:val="0"/>
          <w:numId w:val="9"/>
        </w:numPr>
        <w:rPr>
          <w:szCs w:val="22"/>
        </w:rPr>
      </w:pPr>
      <w:r w:rsidRPr="004B3FDF">
        <w:rPr>
          <w:szCs w:val="22"/>
        </w:rPr>
        <w:t xml:space="preserve">Onjuist. </w:t>
      </w:r>
      <w:r>
        <w:rPr>
          <w:szCs w:val="22"/>
        </w:rPr>
        <w:t>Als aanvullende voorwaarde geldt dat de laptop na gebruik voor de dienstbetrekking teruggegeven moet worden aan de werkgever of dat de werknemer een vergoeding moet betalen ter grootte van de restwaarde van de laptop.</w:t>
      </w:r>
    </w:p>
    <w:p w:rsidR="0032392F" w:rsidRPr="004B3FDF" w:rsidRDefault="0032392F" w:rsidP="0032392F">
      <w:pPr>
        <w:pStyle w:val="Lijstalinea"/>
        <w:numPr>
          <w:ilvl w:val="0"/>
          <w:numId w:val="9"/>
        </w:numPr>
        <w:rPr>
          <w:szCs w:val="22"/>
        </w:rPr>
      </w:pPr>
      <w:r w:rsidRPr="004B3FDF">
        <w:rPr>
          <w:szCs w:val="22"/>
        </w:rPr>
        <w:t xml:space="preserve">Onjuist. De aangewezen kosten die onder de gerichte vrijstelling vallen hebben geen invloed op de vrije ruimte. </w:t>
      </w:r>
    </w:p>
    <w:p w:rsidR="0032392F" w:rsidRPr="004B3FDF" w:rsidRDefault="0032392F" w:rsidP="0032392F">
      <w:pPr>
        <w:pStyle w:val="Lijstalinea"/>
        <w:numPr>
          <w:ilvl w:val="0"/>
          <w:numId w:val="9"/>
        </w:numPr>
        <w:rPr>
          <w:szCs w:val="22"/>
        </w:rPr>
      </w:pPr>
      <w:r w:rsidRPr="004B3FDF">
        <w:rPr>
          <w:szCs w:val="22"/>
        </w:rPr>
        <w:t>Onjuist</w:t>
      </w:r>
      <w:r>
        <w:rPr>
          <w:szCs w:val="22"/>
        </w:rPr>
        <w:t xml:space="preserve">, althans niet helemaal volledig. </w:t>
      </w:r>
      <w:r w:rsidRPr="004B3FDF">
        <w:rPr>
          <w:szCs w:val="22"/>
        </w:rPr>
        <w:t>Bestaat kolom 14 van de loonstaat voor meer dan 10% uit loon uit vroegere dienstbetrekking, dan dient voor het bepalen van de loonsom met de bedragen boven de 10% van het loon uit vroegere dienstbetrekking geen rekening</w:t>
      </w:r>
      <w:r>
        <w:rPr>
          <w:szCs w:val="22"/>
        </w:rPr>
        <w:t xml:space="preserve"> te worden </w:t>
      </w:r>
      <w:r>
        <w:rPr>
          <w:szCs w:val="22"/>
        </w:rPr>
        <w:lastRenderedPageBreak/>
        <w:t>gehouden. Ook goed: J</w:t>
      </w:r>
      <w:r w:rsidRPr="004B3FDF">
        <w:rPr>
          <w:szCs w:val="22"/>
        </w:rPr>
        <w:t xml:space="preserve">uist, indien het totale loon van kolom 14 van de loonstaat alleen wordt gevormd door loon uit tegenwoordige dienstbetrekking. </w:t>
      </w:r>
    </w:p>
    <w:p w:rsidR="0032392F" w:rsidRPr="004B3FDF" w:rsidRDefault="0032392F" w:rsidP="0032392F">
      <w:pPr>
        <w:pStyle w:val="Lijstalinea"/>
        <w:numPr>
          <w:ilvl w:val="0"/>
          <w:numId w:val="9"/>
        </w:numPr>
        <w:rPr>
          <w:szCs w:val="22"/>
        </w:rPr>
      </w:pPr>
      <w:r w:rsidRPr="004B3FDF">
        <w:rPr>
          <w:szCs w:val="22"/>
        </w:rPr>
        <w:t>Onderhavige vergoeding is een vergoeding voor intermediaire kosten (kosten van de werkgever, die betaald zijn door de werknemer)</w:t>
      </w:r>
      <w:r>
        <w:rPr>
          <w:szCs w:val="22"/>
        </w:rPr>
        <w:t>. D</w:t>
      </w:r>
      <w:r w:rsidRPr="004B3FDF">
        <w:rPr>
          <w:szCs w:val="22"/>
        </w:rPr>
        <w:t xml:space="preserve">eze hebben niets met de loonheffingen te maken , bijgevolg ook niet met de werkkostenregeling. </w:t>
      </w:r>
    </w:p>
    <w:p w:rsidR="0032392F" w:rsidRDefault="0032392F" w:rsidP="0032392F">
      <w:pPr>
        <w:pStyle w:val="Lijstalinea"/>
        <w:numPr>
          <w:ilvl w:val="0"/>
          <w:numId w:val="9"/>
        </w:numPr>
        <w:rPr>
          <w:szCs w:val="22"/>
        </w:rPr>
      </w:pPr>
      <w:r w:rsidRPr="004B3FDF">
        <w:rPr>
          <w:szCs w:val="22"/>
        </w:rPr>
        <w:t xml:space="preserve">Verstrekkingen zijn in beginsel belast. Het verstrekken van de fruitmand vindt niet plaats op basis van de relatie werkgever/werknemer maar gebeurt op basis van een persoonlijke relatie. </w:t>
      </w:r>
      <w:r>
        <w:rPr>
          <w:szCs w:val="22"/>
        </w:rPr>
        <w:t xml:space="preserve">Dit is daarom geen loon. </w:t>
      </w:r>
      <w:r w:rsidRPr="004B3FDF">
        <w:rPr>
          <w:szCs w:val="22"/>
        </w:rPr>
        <w:t>De vraag is of diezelfde persoonlijke relatie (wellevendheid) ook aan de orde is bij het verstrekken van de boekenbon. De staatssecretaris heeft bij het tot stand komen van de werkkostenregeling alleen aangegeven dat de fruitmand en de rouwkrans geen loon vormen. Bij het verstrekken van een boekenbon heeft men meer het idee dat een cadeau wordt verstrekt. De boekenbon vormt geen vrijgesteld loon en valt evenmin onder de gerichte vrijstellingen. Indien de vrije ruimte niet wordt overs</w:t>
      </w:r>
      <w:r>
        <w:rPr>
          <w:szCs w:val="22"/>
        </w:rPr>
        <w:t>chreden is het bedrag van € 50</w:t>
      </w:r>
      <w:r w:rsidRPr="004B3FDF">
        <w:rPr>
          <w:szCs w:val="22"/>
        </w:rPr>
        <w:t xml:space="preserve"> vrij van loonheffing. Is de vrije ruimte overschred</w:t>
      </w:r>
      <w:r>
        <w:rPr>
          <w:szCs w:val="22"/>
        </w:rPr>
        <w:t>en dan is Kamp bv 80% van € 50</w:t>
      </w:r>
      <w:r w:rsidRPr="004B3FDF">
        <w:rPr>
          <w:szCs w:val="22"/>
        </w:rPr>
        <w:t xml:space="preserve"> aan eindheffin</w:t>
      </w:r>
      <w:r>
        <w:rPr>
          <w:szCs w:val="22"/>
        </w:rPr>
        <w:t xml:space="preserve">g verschuldigd. </w:t>
      </w:r>
    </w:p>
    <w:p w:rsidR="0032392F" w:rsidRPr="004B3FDF" w:rsidRDefault="0032392F" w:rsidP="0032392F">
      <w:pPr>
        <w:pStyle w:val="Lijstalinea"/>
        <w:rPr>
          <w:szCs w:val="22"/>
        </w:rPr>
      </w:pPr>
      <w:r w:rsidRPr="004B3FDF">
        <w:rPr>
          <w:szCs w:val="22"/>
        </w:rPr>
        <w:t>De Belastingdienst neemt in elk geval aan dat geen sprake is van loon als de werkgever diens werknemer een persoonlijke attentie geeft in situaties waarin ook anderen dan de werkgever een dergelijke attentie plegen te geven bij de desbetreffende gelegenheid, mits het geen geld of waardebonnen betreft en de attentie niet een factuurwaarde (incl. btw</w:t>
      </w:r>
      <w:r>
        <w:rPr>
          <w:szCs w:val="22"/>
        </w:rPr>
        <w:t>) heeft die hoger is dan € 25).</w:t>
      </w:r>
    </w:p>
    <w:p w:rsidR="0032392F" w:rsidRPr="004B3FDF" w:rsidRDefault="0032392F" w:rsidP="0032392F">
      <w:pPr>
        <w:pStyle w:val="Lijstalinea"/>
        <w:numPr>
          <w:ilvl w:val="0"/>
          <w:numId w:val="9"/>
        </w:numPr>
        <w:rPr>
          <w:szCs w:val="22"/>
        </w:rPr>
      </w:pPr>
      <w:r w:rsidRPr="004B3FDF">
        <w:rPr>
          <w:szCs w:val="22"/>
        </w:rPr>
        <w:t xml:space="preserve">Vergoedingen zijn in beginsel belast. Een kilometervergoeding valt voor € 0,19 onder de gerichte vrijstellingen, zodat van deze vergoeding € 0,21 ondergebracht wordt in </w:t>
      </w:r>
      <w:r>
        <w:rPr>
          <w:szCs w:val="22"/>
        </w:rPr>
        <w:t xml:space="preserve">(ten laste komt van) </w:t>
      </w:r>
      <w:r w:rsidRPr="004B3FDF">
        <w:rPr>
          <w:szCs w:val="22"/>
        </w:rPr>
        <w:t>de vrije (of forfaitaire) ruimte. Als de vrije ruimte door deze kilometervergoeding niet wordt overschreden wordt niets belast. Wordt de vrije ruimte (1,</w:t>
      </w:r>
      <w:r>
        <w:rPr>
          <w:szCs w:val="22"/>
        </w:rPr>
        <w:t>2</w:t>
      </w:r>
      <w:r w:rsidRPr="004B3FDF">
        <w:rPr>
          <w:szCs w:val="22"/>
        </w:rPr>
        <w:t xml:space="preserve">% van de loonsom) wel overschreden dan dient Kamp bv 80% eindheffing over het aantal kilometers maal € 0,21 af te dragen. </w:t>
      </w:r>
    </w:p>
    <w:p w:rsidR="0032392F" w:rsidRDefault="0032392F" w:rsidP="0032392F">
      <w:pPr>
        <w:pStyle w:val="Tekstzonderopmaak"/>
        <w:ind w:left="708" w:hanging="708"/>
        <w:rPr>
          <w:rFonts w:ascii="Times New Roman" w:hAnsi="Times New Roman"/>
          <w:sz w:val="22"/>
          <w:szCs w:val="22"/>
        </w:rPr>
      </w:pP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Opgave 7.12</w:t>
      </w:r>
    </w:p>
    <w:p w:rsidR="0032392F" w:rsidRDefault="0032392F" w:rsidP="0032392F">
      <w:pPr>
        <w:pStyle w:val="Lijstalinea"/>
        <w:numPr>
          <w:ilvl w:val="0"/>
          <w:numId w:val="10"/>
        </w:numPr>
      </w:pPr>
      <w:r>
        <w:t xml:space="preserve">De reiskostenvergoeding valt voor een bedrag van € 0,19 onder de gerichte vrijstelling. Uit de vergoeding blijkt dat Hans 30.000 kilometer per jaar rijdt. Een bedrag van € 5.700 is in ieder geval onbelast. De vergoeding bedraagt € 8.700, zodat een bedrag van € 3.000 niet gericht vrijgesteld is. Indien de vrije ruimte gelijk is aan of meer dan € 3.000, dan heeft dit tot gevolg dat ook dat bedrag onbelast kan worden verstrekt. De gehele vergoeding valt dan dus buiten de heffing. </w:t>
      </w:r>
    </w:p>
    <w:p w:rsidR="0032392F" w:rsidRDefault="0032392F" w:rsidP="0032392F">
      <w:pPr>
        <w:pStyle w:val="Lijstalinea"/>
        <w:numPr>
          <w:ilvl w:val="0"/>
          <w:numId w:val="10"/>
        </w:numPr>
      </w:pPr>
      <w:r>
        <w:t xml:space="preserve">Oron bv heeft de mogelijkheid het te vergoeden bedrag te splitsen in een deel dat valt onder de gerichte vrijstelling, een deel onder te brengen in de vrije ruimte en een deel als belast loon aan te merken. </w:t>
      </w:r>
    </w:p>
    <w:p w:rsidR="0032392F" w:rsidRDefault="0032392F" w:rsidP="0032392F">
      <w:pPr>
        <w:pStyle w:val="Lijstalinea"/>
        <w:numPr>
          <w:ilvl w:val="0"/>
          <w:numId w:val="10"/>
        </w:numPr>
      </w:pPr>
      <w:r>
        <w:t xml:space="preserve">Als de gereedschapskoffer door Oron noodzakelijk wordt geacht voor de dienstbetrekking, dan is deze als gerichte vrijstelling onbelast. Dat de gereedschappen ook buiten de dienstbetrekking worden gebruikt, en de mate waarin het wel voor de dienstbetrekking wordt gebruikt, is verder niet relevant. </w:t>
      </w:r>
    </w:p>
    <w:p w:rsidR="0032392F" w:rsidRDefault="0032392F" w:rsidP="0032392F">
      <w:pPr>
        <w:pStyle w:val="Lijstalinea"/>
        <w:numPr>
          <w:ilvl w:val="0"/>
          <w:numId w:val="10"/>
        </w:numPr>
      </w:pPr>
      <w:r>
        <w:t>De maaltijden dienen te worden gewaardeerd op € 3,25. Hierop komt in mindering de bijdrage van de werknemers ad € 1,50, zodat die tot de vrije ruimte kan worden gerekend, mits deze toereikend is, een bedrag van € 1,75 per maaltijd en dat is totaal € 4.550. Aantal maaltijden: 2.600 (3.900/1,50). € 1,75 x 2.600= € 4.550.</w:t>
      </w:r>
    </w:p>
    <w:p w:rsidR="0032392F" w:rsidRDefault="0032392F" w:rsidP="0032392F">
      <w:pPr>
        <w:pStyle w:val="Lijstalinea"/>
        <w:numPr>
          <w:ilvl w:val="0"/>
          <w:numId w:val="10"/>
        </w:numPr>
      </w:pPr>
      <w:r>
        <w:t>80% van € 4.550 = € 3.640.</w:t>
      </w:r>
    </w:p>
    <w:p w:rsidR="0032392F" w:rsidRDefault="0032392F" w:rsidP="0032392F">
      <w:pPr>
        <w:pStyle w:val="Tekstzonderopmaak"/>
        <w:ind w:left="708" w:hanging="708"/>
        <w:outlineLvl w:val="0"/>
        <w:rPr>
          <w:rFonts w:ascii="Times New Roman" w:hAnsi="Times New Roman"/>
          <w:sz w:val="22"/>
          <w:szCs w:val="22"/>
        </w:rPr>
      </w:pPr>
    </w:p>
    <w:p w:rsidR="0032392F" w:rsidRPr="00B64E82" w:rsidRDefault="0032392F" w:rsidP="0032392F">
      <w:pPr>
        <w:pStyle w:val="Tekstzonderopmaak"/>
        <w:ind w:left="708" w:hanging="708"/>
        <w:outlineLvl w:val="0"/>
        <w:rPr>
          <w:rFonts w:ascii="Times New Roman" w:hAnsi="Times New Roman"/>
          <w:sz w:val="22"/>
          <w:szCs w:val="22"/>
        </w:rPr>
      </w:pPr>
      <w:r w:rsidRPr="00B64E82">
        <w:rPr>
          <w:rFonts w:ascii="Times New Roman" w:hAnsi="Times New Roman"/>
          <w:sz w:val="22"/>
          <w:szCs w:val="22"/>
        </w:rPr>
        <w:t xml:space="preserve">Opgave </w:t>
      </w:r>
      <w:r>
        <w:rPr>
          <w:rFonts w:ascii="Times New Roman" w:hAnsi="Times New Roman"/>
          <w:sz w:val="22"/>
          <w:szCs w:val="22"/>
        </w:rPr>
        <w:t>7</w:t>
      </w:r>
      <w:r w:rsidRPr="00B64E82">
        <w:rPr>
          <w:rFonts w:ascii="Times New Roman" w:hAnsi="Times New Roman"/>
          <w:sz w:val="22"/>
          <w:szCs w:val="22"/>
        </w:rPr>
        <w:t>.13</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volgende vergoedingen en verstrekkingen kunnen worden herleid:</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ab/>
        <w:t>- maandelijkse vaste kostenvergoeding (accountmanagers en directie), bevat externe representatiekosten</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ab/>
        <w:t>- literatuur</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ab/>
        <w:t>- telefoons</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ab/>
        <w:t>- laptops</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ab/>
        <w:t>- kerstpakketten</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lastRenderedPageBreak/>
        <w:tab/>
        <w:t>- personeelsreis</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ab/>
        <w:t>De vaste kostenvergoeding bevat vermoedelijk voor een groot deel externe representatiekosten. Dit deel  heeft dus betrekking op intermediaire kosten en kan onder de werkkostenregeling middels een vaste kostenvergoeding betaald worden. Voor de verstrekking van literatuur geldt dat nagegaan moet worden in hoeverre het vakliteratuur betreft voor de medewerkers van Olivers Travels. Mocht dat het geval zijn, dan vallen deze verstrekkingen/vergoedingen onder de gerichte vrijstellingen. Telefoons en laptops kunnen onbelast onder de vrije ruimte in aanmerking komen mits zij noodzakelijk zijn voor uitoefening van de dienstbetrekking. Kerstpakketten en personeelsreizen en -feesten komen onder de werkkostenregeling ten laste van de vrije ruimte. Het is dus afhankelijk van de mate waarin aan voormelde voorwaarden is voldaan. Als dat het geval is, hoeft in eerste instantie alleen gekeken te worden naar de omvang van de kerstpakketten en personeelsreizen.</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ab/>
        <w:t>Het kan zijn dat de vergoedingen en verstrekkingen uitkomen boven de vrije ruimte. Over de overschrijding is dan een eindheffing van 80% verschuldigd (art. 31a lid 1 en lid 2 Wet LB 1964). Voor de werknemers met de hoogste lonen geldt dat het binnen de werkkostenregeling voordeliger is om deze eindheffing van 80% te betalen. In geval loon gebruteerd zou worden volgens het normale tarief, zou de eindheffing hoger zijn. Voor werknemers met een (lager) loon die niet in de hoogste tariefschijf vallen, geldt dat het bruteren met het normale tarief juist voordeliger uitpakt dan de 80% eindheffing.</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Dit kan bijvoorbeeld gebeuren met vergoedingen voor woon-werkverkeer als hiervoor een vergoeding wordt betaald van meer dan € 0,19 per kilometer. Als deze vergoeding is toegewezen als eindheffingsloon, is het bovenmatige deel niet gericht vrijgesteld en komt dus ten laste van de vrije ruimte. Als de bovenmatigheid van de vergoeding tot (verdere) overschrijding leidt van de vrije ruimte, is vervolgens de eindheffing van 80% verschuldigd. Als de fiscale claim van de bovenmatigheid nog niet bij de werknemers wordt neergelegd, zou in dit geval geadviseerd kunnen worden om de reiskostenvergoeding partieel toe te wijzen aan de vrije ruimte, dat wil zeggen € 0,19 aan de vrije ruimte. Het bovenmatige deel wordt als normaal belast loon bij de werknemer aangemerkt en (indien nog verhaald wordt op de werknemer) gebruteerd tegen het voor hem toepasselijke tarief (maar met een eindheffing lager dan 80%).</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Voor zover deze vergoeding bestaat uit gerichte vrijstellingen en intermediaire kosten, kan de vaste vergoeding in stand blijven. Wel is onder de werkkostenregeling noodzakelijk dat aan de vaste kostenvergoeding een recent (niet langer dan 5 jaar geleden) daadwerkelijk kostenonderzoek ten grondslag ligt.</w:t>
      </w:r>
    </w:p>
    <w:p w:rsidR="0032392F" w:rsidRDefault="0032392F" w:rsidP="0032392F">
      <w:pPr>
        <w:pStyle w:val="Tekstzonderopmaak"/>
        <w:ind w:left="708" w:hanging="708"/>
        <w:rPr>
          <w:rFonts w:ascii="Times New Roman" w:hAnsi="Times New Roman"/>
          <w:sz w:val="22"/>
          <w:szCs w:val="22"/>
        </w:rPr>
      </w:pPr>
    </w:p>
    <w:p w:rsidR="0032392F" w:rsidRDefault="0032392F" w:rsidP="0032392F">
      <w:pPr>
        <w:pStyle w:val="Tekstzonderopmaak"/>
        <w:ind w:left="708" w:hanging="708"/>
        <w:outlineLvl w:val="0"/>
        <w:rPr>
          <w:rFonts w:ascii="Times New Roman" w:hAnsi="Times New Roman"/>
          <w:sz w:val="22"/>
          <w:szCs w:val="22"/>
        </w:rPr>
      </w:pPr>
      <w:r>
        <w:rPr>
          <w:rFonts w:ascii="Times New Roman" w:hAnsi="Times New Roman"/>
          <w:sz w:val="22"/>
          <w:szCs w:val="22"/>
        </w:rPr>
        <w:t>Opgave 7.14</w:t>
      </w:r>
    </w:p>
    <w:p w:rsidR="0032392F" w:rsidRPr="00C37C2D" w:rsidRDefault="0032392F" w:rsidP="0032392F">
      <w:pPr>
        <w:pStyle w:val="Tekstzonderopmaak"/>
        <w:ind w:left="708" w:hanging="708"/>
        <w:rPr>
          <w:rFonts w:ascii="Times New Roman" w:hAnsi="Times New Roman"/>
          <w:color w:val="FF0000"/>
          <w:sz w:val="22"/>
          <w:szCs w:val="22"/>
        </w:rPr>
      </w:pPr>
      <w:r>
        <w:rPr>
          <w:rFonts w:ascii="Times New Roman" w:hAnsi="Times New Roman"/>
          <w:sz w:val="22"/>
          <w:szCs w:val="22"/>
        </w:rPr>
        <w:t>1.</w:t>
      </w:r>
      <w:r>
        <w:rPr>
          <w:rFonts w:ascii="Times New Roman" w:hAnsi="Times New Roman"/>
          <w:sz w:val="22"/>
          <w:szCs w:val="22"/>
        </w:rPr>
        <w:tab/>
        <w:t>Mits binnen de gestelde grenzen (korting 20% en per werknemer niet meer dan € 500 per jaar), is de verkregen korting op de eigen producten als gerichte vrijstelling onbelast.</w:t>
      </w:r>
      <w:r>
        <w:rPr>
          <w:rFonts w:ascii="Times New Roman" w:hAnsi="Times New Roman"/>
          <w:color w:val="FF0000"/>
          <w:sz w:val="22"/>
          <w:szCs w:val="22"/>
        </w:rPr>
        <w:t xml:space="preserve"> Zie art. 31a lid 2 letter 1 Wet LB.</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Cafetariaregelingen zijn ook onder de werkkostenregeling mogelijk. De werknemer zal dan schriftelijk vooraf  moeten afzien van een deel van het loon, waartegenover hij een vergoeding of verstrekking krijgt van de werkgever. Vervolgens zal de vergoeding of verstrekking beoordeeld moeten worden naar het kader van de werkkostenregeling. Dat betekent dus: een gerichte vrijstelling, nihilwaardering of eindheffingsloon ten laste van de vrije ruimte. Wel zal uiteraard rekening moeten worden gehouden met de gebruikelijkheidstoets en met het noodzakelijkheidscriterium. Als bijvoorbeeld een iPad noodzakelijk wordt geacht voor de dienstbetrekking, ligt het niet voor de hand dat deze wordt verkregen tegen inlevering van brutoloon.</w:t>
      </w:r>
    </w:p>
    <w:p w:rsidR="0032392F" w:rsidRDefault="0032392F" w:rsidP="0032392F">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De vrije ruimte kan worden ‘opgevuld’ met het betalen van een vergoeding/loon in geld. Dit kan dus ook gewoon zijn een extraatje in geld.  Wel geldt ook hier dat rekening moet worden gehouden met de gebruikelijkheidstoets. </w:t>
      </w:r>
    </w:p>
    <w:p w:rsidR="0032392F" w:rsidRDefault="0032392F" w:rsidP="0032392F">
      <w:pPr>
        <w:pStyle w:val="Tekstzonderopmaak"/>
        <w:ind w:left="708" w:hanging="708"/>
        <w:rPr>
          <w:rFonts w:ascii="Times New Roman" w:hAnsi="Times New Roman"/>
          <w:sz w:val="22"/>
          <w:szCs w:val="22"/>
        </w:rPr>
      </w:pPr>
    </w:p>
    <w:p w:rsidR="0032392F" w:rsidRDefault="0032392F" w:rsidP="0032392F">
      <w:pPr>
        <w:pStyle w:val="Tekstzonderopmaak"/>
        <w:ind w:left="708" w:hanging="708"/>
        <w:outlineLvl w:val="0"/>
        <w:rPr>
          <w:rFonts w:ascii="Times New Roman" w:hAnsi="Times New Roman"/>
          <w:sz w:val="22"/>
          <w:szCs w:val="22"/>
        </w:rPr>
      </w:pPr>
      <w:r>
        <w:rPr>
          <w:rFonts w:ascii="Times New Roman" w:hAnsi="Times New Roman"/>
          <w:sz w:val="22"/>
          <w:szCs w:val="22"/>
        </w:rPr>
        <w:t>Opgave 7.15</w:t>
      </w:r>
    </w:p>
    <w:p w:rsidR="0032392F" w:rsidRPr="006E40A1" w:rsidRDefault="0032392F" w:rsidP="0032392F">
      <w:pPr>
        <w:rPr>
          <w:szCs w:val="22"/>
        </w:rPr>
      </w:pPr>
      <w:r w:rsidRPr="006E40A1">
        <w:rPr>
          <w:szCs w:val="22"/>
        </w:rPr>
        <w:t xml:space="preserve">1. </w:t>
      </w:r>
      <w:r>
        <w:rPr>
          <w:szCs w:val="22"/>
        </w:rPr>
        <w:tab/>
      </w:r>
      <w:r w:rsidRPr="006E40A1">
        <w:rPr>
          <w:szCs w:val="22"/>
        </w:rPr>
        <w:t>Uitgangspunt is het factuurbedrag inclusief omzetbelasting. Dus 150 x € 349 =</w:t>
      </w:r>
      <w:r>
        <w:rPr>
          <w:szCs w:val="22"/>
        </w:rPr>
        <w:t xml:space="preserve"> </w:t>
      </w:r>
      <w:r w:rsidRPr="006E40A1">
        <w:rPr>
          <w:szCs w:val="22"/>
        </w:rPr>
        <w:t>€ 52.350.</w:t>
      </w:r>
    </w:p>
    <w:p w:rsidR="0032392F" w:rsidRPr="006E40A1" w:rsidRDefault="0032392F" w:rsidP="0032392F">
      <w:pPr>
        <w:rPr>
          <w:szCs w:val="22"/>
        </w:rPr>
      </w:pPr>
      <w:r w:rsidRPr="006E40A1">
        <w:rPr>
          <w:szCs w:val="22"/>
        </w:rPr>
        <w:lastRenderedPageBreak/>
        <w:t xml:space="preserve">2. </w:t>
      </w:r>
      <w:r>
        <w:rPr>
          <w:szCs w:val="22"/>
        </w:rPr>
        <w:tab/>
      </w:r>
      <w:r w:rsidRPr="006E40A1">
        <w:rPr>
          <w:szCs w:val="22"/>
        </w:rPr>
        <w:t xml:space="preserve">Hier mag niet worden uitgegaan van de factuurwaarde van € 300 per stuk. Deze factuur komt </w:t>
      </w:r>
      <w:r>
        <w:rPr>
          <w:szCs w:val="22"/>
        </w:rPr>
        <w:tab/>
      </w:r>
      <w:r w:rsidRPr="006E40A1">
        <w:rPr>
          <w:szCs w:val="22"/>
        </w:rPr>
        <w:t xml:space="preserve">namelijk van een verbonden vennootschap. Ook hoeft niet te worden uitgegaan van de </w:t>
      </w:r>
      <w:r>
        <w:rPr>
          <w:szCs w:val="22"/>
        </w:rPr>
        <w:tab/>
      </w:r>
      <w:r w:rsidRPr="006E40A1">
        <w:rPr>
          <w:szCs w:val="22"/>
        </w:rPr>
        <w:t xml:space="preserve">normale winkelprijs van € 399. Maar als waarde in het economisch verkeer geldt nu de prijs </w:t>
      </w:r>
      <w:r>
        <w:rPr>
          <w:szCs w:val="22"/>
        </w:rPr>
        <w:tab/>
      </w:r>
      <w:r w:rsidRPr="006E40A1">
        <w:rPr>
          <w:szCs w:val="22"/>
        </w:rPr>
        <w:t xml:space="preserve">die bij een derde in rekening wordt gebracht. Dus 160 x € 349 = € 55.840. Dit blijkt uit art. 13 </w:t>
      </w:r>
      <w:r>
        <w:rPr>
          <w:szCs w:val="22"/>
        </w:rPr>
        <w:tab/>
      </w:r>
      <w:r w:rsidRPr="006E40A1">
        <w:rPr>
          <w:szCs w:val="22"/>
        </w:rPr>
        <w:t>lid 2 Wet op de Loonbelasting 1964.</w:t>
      </w:r>
    </w:p>
    <w:p w:rsidR="0032392F" w:rsidRPr="006E40A1" w:rsidRDefault="0032392F" w:rsidP="0032392F">
      <w:pPr>
        <w:rPr>
          <w:szCs w:val="22"/>
        </w:rPr>
      </w:pPr>
      <w:r w:rsidRPr="006E40A1">
        <w:rPr>
          <w:szCs w:val="22"/>
        </w:rPr>
        <w:t xml:space="preserve">3. </w:t>
      </w:r>
      <w:r>
        <w:rPr>
          <w:szCs w:val="22"/>
        </w:rPr>
        <w:tab/>
      </w:r>
      <w:r w:rsidRPr="006E40A1">
        <w:rPr>
          <w:szCs w:val="22"/>
        </w:rPr>
        <w:t>Er is sprake van:</w:t>
      </w:r>
    </w:p>
    <w:p w:rsidR="0032392F" w:rsidRPr="003B16A2" w:rsidRDefault="0032392F" w:rsidP="0032392F">
      <w:pPr>
        <w:ind w:left="360"/>
        <w:rPr>
          <w:szCs w:val="22"/>
        </w:rPr>
      </w:pPr>
      <w:r>
        <w:rPr>
          <w:szCs w:val="22"/>
        </w:rPr>
        <w:tab/>
      </w:r>
      <w:r w:rsidRPr="003B16A2">
        <w:rPr>
          <w:szCs w:val="22"/>
        </w:rPr>
        <w:t>a  geen loon op grond van art. 11 Wet op de loonbelasting 1964.</w:t>
      </w:r>
    </w:p>
    <w:p w:rsidR="0032392F" w:rsidRPr="003B16A2" w:rsidRDefault="0032392F" w:rsidP="0032392F">
      <w:pPr>
        <w:ind w:left="360"/>
        <w:rPr>
          <w:szCs w:val="22"/>
        </w:rPr>
      </w:pPr>
      <w:r>
        <w:rPr>
          <w:szCs w:val="22"/>
        </w:rPr>
        <w:tab/>
      </w:r>
      <w:r w:rsidRPr="003B16A2">
        <w:rPr>
          <w:szCs w:val="22"/>
        </w:rPr>
        <w:t>b  intermediaire kosten.</w:t>
      </w:r>
    </w:p>
    <w:p w:rsidR="0032392F" w:rsidRPr="003B16A2" w:rsidRDefault="0032392F" w:rsidP="0032392F">
      <w:pPr>
        <w:ind w:left="360"/>
        <w:rPr>
          <w:szCs w:val="22"/>
        </w:rPr>
      </w:pPr>
      <w:r>
        <w:rPr>
          <w:szCs w:val="22"/>
        </w:rPr>
        <w:tab/>
      </w:r>
      <w:r w:rsidRPr="003B16A2">
        <w:rPr>
          <w:szCs w:val="22"/>
        </w:rPr>
        <w:t>c  gerichte vrijstelling.</w:t>
      </w:r>
    </w:p>
    <w:p w:rsidR="0032392F" w:rsidRPr="003B16A2" w:rsidRDefault="0032392F" w:rsidP="0032392F">
      <w:pPr>
        <w:ind w:left="360"/>
        <w:rPr>
          <w:szCs w:val="22"/>
        </w:rPr>
      </w:pPr>
      <w:r>
        <w:rPr>
          <w:szCs w:val="22"/>
        </w:rPr>
        <w:tab/>
      </w:r>
      <w:r w:rsidRPr="003B16A2">
        <w:rPr>
          <w:szCs w:val="22"/>
        </w:rPr>
        <w:t>d  gerichte vrijstelling.</w:t>
      </w:r>
    </w:p>
    <w:p w:rsidR="0032392F" w:rsidRPr="003B16A2" w:rsidRDefault="0032392F" w:rsidP="0032392F">
      <w:pPr>
        <w:ind w:left="360"/>
        <w:rPr>
          <w:szCs w:val="22"/>
        </w:rPr>
      </w:pPr>
      <w:r>
        <w:rPr>
          <w:szCs w:val="22"/>
        </w:rPr>
        <w:tab/>
      </w:r>
      <w:r w:rsidRPr="003B16A2">
        <w:rPr>
          <w:szCs w:val="22"/>
        </w:rPr>
        <w:t>e  geen voordeel uit dienstbetrekking.</w:t>
      </w:r>
    </w:p>
    <w:p w:rsidR="0032392F" w:rsidRPr="003B16A2" w:rsidRDefault="0032392F" w:rsidP="0032392F">
      <w:pPr>
        <w:ind w:left="360"/>
        <w:rPr>
          <w:szCs w:val="22"/>
        </w:rPr>
      </w:pPr>
      <w:r>
        <w:rPr>
          <w:szCs w:val="22"/>
        </w:rPr>
        <w:tab/>
      </w:r>
      <w:r w:rsidRPr="003B16A2">
        <w:rPr>
          <w:szCs w:val="22"/>
        </w:rPr>
        <w:t>f  geen loon op grond van art. 11 Wet op de loonbelasting 1964.</w:t>
      </w:r>
    </w:p>
    <w:p w:rsidR="0032392F" w:rsidRPr="003B16A2" w:rsidRDefault="0032392F" w:rsidP="0032392F">
      <w:pPr>
        <w:ind w:left="360"/>
        <w:rPr>
          <w:szCs w:val="22"/>
        </w:rPr>
      </w:pPr>
      <w:r>
        <w:rPr>
          <w:szCs w:val="22"/>
        </w:rPr>
        <w:tab/>
      </w:r>
      <w:r w:rsidRPr="003B16A2">
        <w:rPr>
          <w:szCs w:val="22"/>
        </w:rPr>
        <w:t>g  geen voordeel uit dienstbetrekking.</w:t>
      </w:r>
    </w:p>
    <w:p w:rsidR="0032392F" w:rsidRPr="003B16A2" w:rsidRDefault="0032392F" w:rsidP="0032392F">
      <w:pPr>
        <w:ind w:left="360"/>
        <w:rPr>
          <w:szCs w:val="22"/>
        </w:rPr>
      </w:pPr>
      <w:r>
        <w:rPr>
          <w:szCs w:val="22"/>
        </w:rPr>
        <w:tab/>
      </w:r>
      <w:r w:rsidRPr="003B16A2">
        <w:rPr>
          <w:szCs w:val="22"/>
        </w:rPr>
        <w:t>h  verplicht loon voor de werknemer.</w:t>
      </w:r>
    </w:p>
    <w:p w:rsidR="0032392F" w:rsidRPr="003B16A2" w:rsidRDefault="0032392F" w:rsidP="0032392F">
      <w:pPr>
        <w:ind w:left="360"/>
        <w:rPr>
          <w:szCs w:val="22"/>
        </w:rPr>
      </w:pPr>
      <w:r>
        <w:rPr>
          <w:szCs w:val="22"/>
        </w:rPr>
        <w:tab/>
      </w:r>
      <w:r w:rsidRPr="003B16A2">
        <w:rPr>
          <w:szCs w:val="22"/>
        </w:rPr>
        <w:t>i  keuze uit loon voor de werknemer of aanwijzen als eindheffingsloon.</w:t>
      </w:r>
    </w:p>
    <w:p w:rsidR="0032392F" w:rsidRPr="003B16A2" w:rsidRDefault="0032392F" w:rsidP="0032392F">
      <w:pPr>
        <w:ind w:left="360"/>
        <w:rPr>
          <w:szCs w:val="22"/>
        </w:rPr>
      </w:pPr>
      <w:r>
        <w:rPr>
          <w:szCs w:val="22"/>
        </w:rPr>
        <w:tab/>
        <w:t>j  nihilwaardering (consumpties op de werkplek).</w:t>
      </w:r>
    </w:p>
    <w:p w:rsidR="0032392F" w:rsidRPr="003B16A2" w:rsidRDefault="0032392F" w:rsidP="0032392F">
      <w:pPr>
        <w:ind w:left="360"/>
        <w:rPr>
          <w:szCs w:val="22"/>
        </w:rPr>
      </w:pPr>
      <w:r>
        <w:rPr>
          <w:szCs w:val="22"/>
        </w:rPr>
        <w:tab/>
      </w:r>
      <w:r w:rsidRPr="003B16A2">
        <w:rPr>
          <w:szCs w:val="22"/>
        </w:rPr>
        <w:t>k  intermediaire kosten</w:t>
      </w:r>
      <w:r>
        <w:rPr>
          <w:szCs w:val="22"/>
        </w:rPr>
        <w:t xml:space="preserve"> (prospect)</w:t>
      </w:r>
      <w:r w:rsidRPr="003B16A2">
        <w:rPr>
          <w:szCs w:val="22"/>
        </w:rPr>
        <w:t xml:space="preserve"> en gerichte vrijstelling</w:t>
      </w:r>
      <w:r>
        <w:rPr>
          <w:szCs w:val="22"/>
        </w:rPr>
        <w:t xml:space="preserve"> (verblijfskosten werknemer)</w:t>
      </w:r>
      <w:r w:rsidRPr="003B16A2">
        <w:rPr>
          <w:szCs w:val="22"/>
        </w:rPr>
        <w:t>.</w:t>
      </w:r>
    </w:p>
    <w:p w:rsidR="0032392F" w:rsidRPr="003B16A2" w:rsidRDefault="0032392F" w:rsidP="0032392F">
      <w:pPr>
        <w:ind w:left="360"/>
        <w:rPr>
          <w:szCs w:val="22"/>
        </w:rPr>
      </w:pPr>
      <w:r>
        <w:rPr>
          <w:szCs w:val="22"/>
        </w:rPr>
        <w:tab/>
      </w:r>
      <w:r w:rsidRPr="003B16A2">
        <w:rPr>
          <w:szCs w:val="22"/>
        </w:rPr>
        <w:t xml:space="preserve">l  € 3.000 is gebruikelijk. Tot 130% = € 3.900 is keuze uit loon werknemer of </w:t>
      </w:r>
      <w:r>
        <w:rPr>
          <w:szCs w:val="22"/>
        </w:rPr>
        <w:tab/>
      </w:r>
      <w:r w:rsidRPr="003B16A2">
        <w:rPr>
          <w:szCs w:val="22"/>
        </w:rPr>
        <w:t>eindheffingsloon. Boven 130% = € 1.100 is verplicht loon voor de werknemer.</w:t>
      </w:r>
    </w:p>
    <w:p w:rsidR="0032392F" w:rsidRPr="003B16A2" w:rsidRDefault="0032392F" w:rsidP="0032392F">
      <w:pPr>
        <w:ind w:left="360"/>
        <w:rPr>
          <w:szCs w:val="22"/>
        </w:rPr>
      </w:pPr>
      <w:r>
        <w:rPr>
          <w:szCs w:val="22"/>
        </w:rPr>
        <w:tab/>
      </w:r>
      <w:r w:rsidRPr="003B16A2">
        <w:rPr>
          <w:szCs w:val="22"/>
        </w:rPr>
        <w:t>m  verplicht eindheffingsloon.</w:t>
      </w:r>
    </w:p>
    <w:p w:rsidR="0032392F" w:rsidRDefault="0032392F" w:rsidP="0032392F">
      <w:pPr>
        <w:ind w:left="360"/>
        <w:rPr>
          <w:szCs w:val="22"/>
        </w:rPr>
      </w:pPr>
      <w:r>
        <w:rPr>
          <w:szCs w:val="22"/>
        </w:rPr>
        <w:tab/>
      </w:r>
      <w:r w:rsidRPr="003B16A2">
        <w:rPr>
          <w:szCs w:val="22"/>
        </w:rPr>
        <w:t>n  € 26.000 gerichte vrijstelling. € 4.000 is keuze uit loon werknemer of eindheffingsloon.</w:t>
      </w:r>
    </w:p>
    <w:p w:rsidR="0032392F" w:rsidRDefault="0032392F" w:rsidP="0032392F">
      <w:pPr>
        <w:rPr>
          <w:szCs w:val="22"/>
        </w:rPr>
      </w:pPr>
    </w:p>
    <w:p w:rsidR="0032392F" w:rsidRDefault="0032392F" w:rsidP="0032392F">
      <w:pPr>
        <w:pStyle w:val="Tekstzonderopmaak"/>
        <w:ind w:left="708" w:hanging="708"/>
        <w:outlineLvl w:val="0"/>
        <w:rPr>
          <w:rFonts w:ascii="Times New Roman" w:hAnsi="Times New Roman"/>
          <w:sz w:val="22"/>
          <w:szCs w:val="22"/>
        </w:rPr>
      </w:pPr>
      <w:r w:rsidRPr="00AA63B5">
        <w:rPr>
          <w:rFonts w:ascii="Times New Roman" w:hAnsi="Times New Roman"/>
          <w:sz w:val="22"/>
          <w:szCs w:val="22"/>
        </w:rPr>
        <w:t xml:space="preserve">Opgave </w:t>
      </w:r>
      <w:r>
        <w:rPr>
          <w:rFonts w:ascii="Times New Roman" w:hAnsi="Times New Roman"/>
          <w:sz w:val="22"/>
          <w:szCs w:val="22"/>
        </w:rPr>
        <w:t>7</w:t>
      </w:r>
      <w:r w:rsidRPr="00AA63B5">
        <w:rPr>
          <w:rFonts w:ascii="Times New Roman" w:hAnsi="Times New Roman"/>
          <w:sz w:val="22"/>
          <w:szCs w:val="22"/>
        </w:rPr>
        <w:t>.16</w:t>
      </w:r>
    </w:p>
    <w:p w:rsidR="0032392F" w:rsidRPr="00AA63B5" w:rsidRDefault="0032392F" w:rsidP="0032392F">
      <w:pPr>
        <w:pStyle w:val="Plattetekstinspringen"/>
        <w:numPr>
          <w:ilvl w:val="0"/>
          <w:numId w:val="11"/>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rPr>
          <w:szCs w:val="22"/>
        </w:rPr>
      </w:pPr>
      <w:r w:rsidRPr="00AA63B5">
        <w:rPr>
          <w:szCs w:val="22"/>
        </w:rPr>
        <w:t>De volledige loonsom van € 4.</w:t>
      </w:r>
      <w:r>
        <w:rPr>
          <w:szCs w:val="22"/>
        </w:rPr>
        <w:t>350.000</w:t>
      </w:r>
      <w:r w:rsidRPr="00AA63B5">
        <w:rPr>
          <w:szCs w:val="22"/>
        </w:rPr>
        <w:t xml:space="preserve"> mag worden gehanteerd omdat het bedrag dat hierin begrepen is als loon uit vroegere dienstbetrekking beneden de 10% van de loonsom blijft.</w:t>
      </w:r>
      <w:r>
        <w:rPr>
          <w:szCs w:val="22"/>
        </w:rPr>
        <w:t xml:space="preserve"> Zie art. 31a lid 10 onder 1</w:t>
      </w:r>
      <w:r>
        <w:rPr>
          <w:szCs w:val="22"/>
          <w:vertAlign w:val="superscript"/>
        </w:rPr>
        <w:t>o</w:t>
      </w:r>
      <w:r>
        <w:rPr>
          <w:szCs w:val="22"/>
        </w:rPr>
        <w:t xml:space="preserve"> Wet LB.</w:t>
      </w:r>
    </w:p>
    <w:p w:rsidR="0032392F" w:rsidRPr="00AA63B5" w:rsidRDefault="0032392F" w:rsidP="0032392F">
      <w:pPr>
        <w:pStyle w:val="Plattetekstinspringen"/>
        <w:numPr>
          <w:ilvl w:val="0"/>
          <w:numId w:val="11"/>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rPr>
          <w:szCs w:val="22"/>
        </w:rPr>
      </w:pPr>
      <w:r w:rsidRPr="00AA63B5">
        <w:rPr>
          <w:szCs w:val="22"/>
        </w:rPr>
        <w:t>De vrije ruimte bedraagt 1,</w:t>
      </w:r>
      <w:r>
        <w:rPr>
          <w:szCs w:val="22"/>
        </w:rPr>
        <w:t>2</w:t>
      </w:r>
      <w:r w:rsidRPr="00AA63B5">
        <w:rPr>
          <w:szCs w:val="22"/>
        </w:rPr>
        <w:t>% van € 4.</w:t>
      </w:r>
      <w:r>
        <w:rPr>
          <w:szCs w:val="22"/>
        </w:rPr>
        <w:t>350.000</w:t>
      </w:r>
      <w:r w:rsidRPr="00AA63B5">
        <w:rPr>
          <w:szCs w:val="22"/>
        </w:rPr>
        <w:t xml:space="preserve"> is € </w:t>
      </w:r>
      <w:r>
        <w:rPr>
          <w:szCs w:val="22"/>
        </w:rPr>
        <w:t>52.200</w:t>
      </w:r>
      <w:r w:rsidRPr="00AA63B5">
        <w:rPr>
          <w:szCs w:val="22"/>
        </w:rPr>
        <w:t>.</w:t>
      </w:r>
    </w:p>
    <w:p w:rsidR="0032392F" w:rsidRPr="00AA63B5" w:rsidRDefault="0032392F" w:rsidP="0032392F">
      <w:pPr>
        <w:pStyle w:val="Plattetekstinspringen"/>
        <w:numPr>
          <w:ilvl w:val="0"/>
          <w:numId w:val="11"/>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rPr>
          <w:szCs w:val="22"/>
        </w:rPr>
      </w:pPr>
      <w:r w:rsidRPr="00AA63B5">
        <w:rPr>
          <w:b/>
          <w:szCs w:val="22"/>
        </w:rPr>
        <w:t>Vrijgesteld loon</w:t>
      </w:r>
      <w:r>
        <w:rPr>
          <w:szCs w:val="22"/>
        </w:rPr>
        <w:t>:</w:t>
      </w:r>
      <w:r w:rsidRPr="00AA63B5">
        <w:rPr>
          <w:szCs w:val="22"/>
        </w:rPr>
        <w:t xml:space="preserve"> </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In de gegeven bedragen is geen vrijgesteld loon aanwezig.</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sidRPr="00AA63B5">
        <w:rPr>
          <w:b/>
          <w:szCs w:val="22"/>
        </w:rPr>
        <w:t>Intermediaire kosten (onbelast)</w:t>
      </w:r>
      <w:r w:rsidRPr="00AA63B5">
        <w:rPr>
          <w:szCs w:val="22"/>
        </w:rPr>
        <w:t xml:space="preserve">: </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declaraties werknemers – voorgeschoten bedragen € 1.400</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sidRPr="00AA63B5">
        <w:rPr>
          <w:b/>
          <w:szCs w:val="22"/>
        </w:rPr>
        <w:t>Nihilwaardering</w:t>
      </w:r>
      <w:r w:rsidRPr="00AA63B5">
        <w:rPr>
          <w:szCs w:val="22"/>
        </w:rPr>
        <w:t xml:space="preserve">: </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 xml:space="preserve">voorzieningen op de werkplek € 4.600 </w:t>
      </w:r>
    </w:p>
    <w:p w:rsidR="0032392F"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consumpties tijdens de werktijd € 3.000</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sidRPr="00AA63B5">
        <w:rPr>
          <w:b/>
          <w:szCs w:val="22"/>
        </w:rPr>
        <w:t>Gerichte vrijstelling</w:t>
      </w:r>
      <w:r w:rsidRPr="00AA63B5">
        <w:rPr>
          <w:szCs w:val="22"/>
        </w:rPr>
        <w:t xml:space="preserve">: </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vakliteratuur werk en thuis € 4.000</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 xml:space="preserve">vergoeding tijdelijke verblijfskosten op projecten € 5.000 </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maaltijden bij overwerk € 4.000</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 xml:space="preserve">studie- en opleidingskosten personeel € 6.000 </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Pr>
          <w:szCs w:val="22"/>
        </w:rPr>
        <w:t xml:space="preserve">- </w:t>
      </w:r>
      <w:r w:rsidRPr="00AA63B5">
        <w:rPr>
          <w:szCs w:val="22"/>
        </w:rPr>
        <w:t xml:space="preserve">vergoeding zakelijke kilometers voor 40.000 km x € 0,19 = € 7.600 </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sidRPr="00AA63B5">
        <w:rPr>
          <w:b/>
          <w:szCs w:val="22"/>
        </w:rPr>
        <w:t>Totaal</w:t>
      </w:r>
      <w:r w:rsidRPr="00AA63B5">
        <w:rPr>
          <w:szCs w:val="22"/>
        </w:rPr>
        <w:t xml:space="preserve"> buiten de vrije ruimte onbelaste vergoedingen en verstrekkingen € 35.600</w:t>
      </w:r>
    </w:p>
    <w:p w:rsidR="0032392F"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rPr>
          <w:szCs w:val="22"/>
        </w:rPr>
      </w:pPr>
      <w:r>
        <w:rPr>
          <w:szCs w:val="22"/>
        </w:rPr>
        <w:t xml:space="preserve">4. </w:t>
      </w:r>
      <w:r w:rsidRPr="00AA63B5">
        <w:rPr>
          <w:szCs w:val="22"/>
        </w:rPr>
        <w:t>Door de werkgever aangewezen vergoedingen en verstrekkingen als eindheffing € 108.000</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sidRPr="00AA63B5">
        <w:rPr>
          <w:szCs w:val="22"/>
        </w:rPr>
        <w:t>Af: Onbelaste vergoedingen en verstrekkingen, letters a t/m d € 35.600</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sidRPr="00AA63B5">
        <w:rPr>
          <w:szCs w:val="22"/>
        </w:rPr>
        <w:t xml:space="preserve">Resteert, inclusief de bovenmatige reiskosten en verstrekking fietsen € 72.400 </w:t>
      </w:r>
    </w:p>
    <w:p w:rsidR="0032392F" w:rsidRPr="00AA63B5"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sidRPr="00AA63B5">
        <w:rPr>
          <w:szCs w:val="22"/>
        </w:rPr>
        <w:t xml:space="preserve">Af: de vrije ruimte € </w:t>
      </w:r>
      <w:r>
        <w:rPr>
          <w:szCs w:val="22"/>
        </w:rPr>
        <w:t>52.200</w:t>
      </w:r>
      <w:r w:rsidRPr="00AA63B5">
        <w:rPr>
          <w:szCs w:val="22"/>
        </w:rPr>
        <w:t>,</w:t>
      </w:r>
    </w:p>
    <w:p w:rsidR="0032392F" w:rsidRDefault="0032392F" w:rsidP="0032392F">
      <w:pPr>
        <w:pStyle w:val="Plattetekstinspringen"/>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08"/>
        <w:rPr>
          <w:szCs w:val="22"/>
        </w:rPr>
      </w:pPr>
      <w:r w:rsidRPr="00AA63B5">
        <w:rPr>
          <w:szCs w:val="22"/>
        </w:rPr>
        <w:t xml:space="preserve">Af te rekenen eindheffing tegen 80% over een bedrag van € </w:t>
      </w:r>
      <w:r>
        <w:rPr>
          <w:szCs w:val="22"/>
        </w:rPr>
        <w:t>20.200</w:t>
      </w:r>
      <w:r w:rsidRPr="00AA63B5">
        <w:rPr>
          <w:szCs w:val="22"/>
        </w:rPr>
        <w:t xml:space="preserve"> = € </w:t>
      </w:r>
      <w:r>
        <w:rPr>
          <w:szCs w:val="22"/>
        </w:rPr>
        <w:t>16.160</w:t>
      </w:r>
      <w:r w:rsidRPr="00AA63B5">
        <w:rPr>
          <w:szCs w:val="22"/>
        </w:rPr>
        <w:t>.</w:t>
      </w:r>
    </w:p>
    <w:p w:rsidR="0032392F" w:rsidRDefault="0032392F" w:rsidP="0032392F">
      <w:pPr>
        <w:spacing w:before="100" w:beforeAutospacing="1" w:after="100" w:afterAutospacing="1"/>
        <w:ind w:left="720"/>
        <w:rPr>
          <w:szCs w:val="22"/>
        </w:rPr>
      </w:pPr>
    </w:p>
    <w:p w:rsidR="00A839A0" w:rsidRDefault="00A839A0"/>
    <w:sectPr w:rsidR="00A839A0" w:rsidSect="0021449C">
      <w:footerReference w:type="default" r:id="rId5"/>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14579"/>
      <w:docPartObj>
        <w:docPartGallery w:val="Page Numbers (Bottom of Page)"/>
        <w:docPartUnique/>
      </w:docPartObj>
    </w:sdtPr>
    <w:sdtEndPr/>
    <w:sdtContent>
      <w:p w:rsidR="001E1F8A" w:rsidRDefault="0032392F">
        <w:pPr>
          <w:pStyle w:val="Voettekst"/>
          <w:jc w:val="right"/>
        </w:pPr>
        <w:r>
          <w:t xml:space="preserve">Convoy - </w:t>
        </w:r>
        <w:r>
          <w:t xml:space="preserve">VPS LHN niveau 5 (2016/2017) - pag. </w:t>
        </w:r>
        <w:r>
          <w:fldChar w:fldCharType="begin"/>
        </w:r>
        <w:r>
          <w:instrText xml:space="preserve"> PAGE   \* MERGEFORMAT </w:instrText>
        </w:r>
        <w:r>
          <w:fldChar w:fldCharType="separate"/>
        </w:r>
        <w:r>
          <w:rPr>
            <w:noProof/>
          </w:rPr>
          <w:t>6</w:t>
        </w:r>
        <w:r>
          <w:rPr>
            <w:noProof/>
          </w:rPr>
          <w:fldChar w:fldCharType="end"/>
        </w:r>
      </w:p>
    </w:sdtContent>
  </w:sdt>
  <w:p w:rsidR="001E1F8A" w:rsidRDefault="0032392F">
    <w:pPr>
      <w:pStyle w:val="Voetteks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15307"/>
    <w:multiLevelType w:val="hybridMultilevel"/>
    <w:tmpl w:val="FBD6EC28"/>
    <w:lvl w:ilvl="0" w:tplc="3ADC9D10">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38682262"/>
    <w:multiLevelType w:val="hybridMultilevel"/>
    <w:tmpl w:val="03AAD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B3E7F35"/>
    <w:multiLevelType w:val="hybridMultilevel"/>
    <w:tmpl w:val="523074DA"/>
    <w:lvl w:ilvl="0" w:tplc="B5E47A2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3E422BFA"/>
    <w:multiLevelType w:val="hybridMultilevel"/>
    <w:tmpl w:val="B0204240"/>
    <w:lvl w:ilvl="0" w:tplc="34BC5D16">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41911C5B"/>
    <w:multiLevelType w:val="hybridMultilevel"/>
    <w:tmpl w:val="69D8EF0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51C82FF8"/>
    <w:multiLevelType w:val="hybridMultilevel"/>
    <w:tmpl w:val="8E3E4C96"/>
    <w:lvl w:ilvl="0" w:tplc="F3965A1E">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nsid w:val="571924F1"/>
    <w:multiLevelType w:val="hybridMultilevel"/>
    <w:tmpl w:val="DD76A0B4"/>
    <w:lvl w:ilvl="0" w:tplc="322E6B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BB26711"/>
    <w:multiLevelType w:val="hybridMultilevel"/>
    <w:tmpl w:val="5936F8BC"/>
    <w:lvl w:ilvl="0" w:tplc="E91A2D2C">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7883106D"/>
    <w:multiLevelType w:val="hybridMultilevel"/>
    <w:tmpl w:val="C5B651F2"/>
    <w:lvl w:ilvl="0" w:tplc="F0D26A90">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nsid w:val="7A352125"/>
    <w:multiLevelType w:val="hybridMultilevel"/>
    <w:tmpl w:val="6C929C84"/>
    <w:lvl w:ilvl="0" w:tplc="F0D26A90">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7DDA6900"/>
    <w:multiLevelType w:val="hybridMultilevel"/>
    <w:tmpl w:val="8548AE78"/>
    <w:lvl w:ilvl="0" w:tplc="D360C512">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7"/>
  </w:num>
  <w:num w:numId="5">
    <w:abstractNumId w:val="0"/>
  </w:num>
  <w:num w:numId="6">
    <w:abstractNumId w:val="5"/>
  </w:num>
  <w:num w:numId="7">
    <w:abstractNumId w:val="3"/>
  </w:num>
  <w:num w:numId="8">
    <w:abstractNumId w:val="2"/>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32392F"/>
    <w:rsid w:val="0032392F"/>
    <w:rsid w:val="00A839A0"/>
    <w:rsid w:val="00B33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392F"/>
    <w:pPr>
      <w:spacing w:after="0" w:line="240" w:lineRule="auto"/>
    </w:pPr>
    <w:rPr>
      <w:rFonts w:ascii="Times New Roman" w:eastAsia="Times New Roman" w:hAnsi="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2392F"/>
    <w:rPr>
      <w:rFonts w:ascii="Consolas" w:hAnsi="Consolas"/>
      <w:sz w:val="21"/>
      <w:szCs w:val="21"/>
    </w:rPr>
  </w:style>
  <w:style w:type="character" w:customStyle="1" w:styleId="TekstzonderopmaakChar">
    <w:name w:val="Tekst zonder opmaak Char"/>
    <w:basedOn w:val="Standaardalinea-lettertype"/>
    <w:link w:val="Tekstzonderopmaak"/>
    <w:uiPriority w:val="99"/>
    <w:rsid w:val="0032392F"/>
    <w:rPr>
      <w:rFonts w:ascii="Consolas" w:eastAsia="Times New Roman" w:hAnsi="Consolas" w:cs="Times New Roman"/>
      <w:sz w:val="21"/>
      <w:szCs w:val="21"/>
      <w:lang w:val="nl-NL" w:eastAsia="nl-NL"/>
    </w:rPr>
  </w:style>
  <w:style w:type="paragraph" w:styleId="Lijstalinea">
    <w:name w:val="List Paragraph"/>
    <w:basedOn w:val="Standaard"/>
    <w:uiPriority w:val="34"/>
    <w:qFormat/>
    <w:rsid w:val="0032392F"/>
    <w:pPr>
      <w:ind w:left="720"/>
      <w:contextualSpacing/>
    </w:pPr>
  </w:style>
  <w:style w:type="paragraph" w:styleId="Plattetekstinspringen">
    <w:name w:val="Body Text Indent"/>
    <w:basedOn w:val="Standaard"/>
    <w:link w:val="PlattetekstinspringenChar"/>
    <w:uiPriority w:val="99"/>
    <w:unhideWhenUsed/>
    <w:rsid w:val="0032392F"/>
    <w:pPr>
      <w:spacing w:after="120"/>
      <w:ind w:left="283"/>
    </w:pPr>
  </w:style>
  <w:style w:type="character" w:customStyle="1" w:styleId="PlattetekstinspringenChar">
    <w:name w:val="Platte tekst inspringen Char"/>
    <w:basedOn w:val="Standaardalinea-lettertype"/>
    <w:link w:val="Plattetekstinspringen"/>
    <w:uiPriority w:val="99"/>
    <w:rsid w:val="0032392F"/>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rsid w:val="0032392F"/>
    <w:pPr>
      <w:tabs>
        <w:tab w:val="center" w:pos="4320"/>
        <w:tab w:val="right" w:pos="8640"/>
      </w:tabs>
    </w:pPr>
  </w:style>
  <w:style w:type="character" w:customStyle="1" w:styleId="VoettekstChar">
    <w:name w:val="Voettekst Char"/>
    <w:basedOn w:val="Standaardalinea-lettertype"/>
    <w:link w:val="Voettekst"/>
    <w:uiPriority w:val="99"/>
    <w:rsid w:val="0032392F"/>
    <w:rPr>
      <w:rFonts w:ascii="Times New Roman" w:eastAsia="Times New Roman" w:hAnsi="Times New Roman" w:cs="Times New Roman"/>
      <w:szCs w:val="20"/>
      <w:lang w:val="nl-NL" w:eastAsia="nl-N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3695</Words>
  <Characters>21063</Characters>
  <Application>Microsoft Office Word</Application>
  <DocSecurity>0</DocSecurity>
  <Lines>175</Lines>
  <Paragraphs>49</Paragraphs>
  <ScaleCrop>false</ScaleCrop>
  <Company>Springer-SBM</Company>
  <LinksUpToDate>false</LinksUpToDate>
  <CharactersWithSpaces>24709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d.jacobse</cp:lastModifiedBy>
  <cp:revision>1</cp:revision>
  <dcterms:created xsi:type="dcterms:W3CDTF">2016-04-19T08:34:00Z</dcterms:created>
  <dcterms:modified xsi:type="dcterms:W3CDTF">2016-04-19T08:34:00Z</dcterms:modified>
</cp:coreProperties>
</file>