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loonheffingen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 die normaliter gebruikt wordt in sfeer van de salarisadministratie).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WW-premie bestaat uit: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premie voor het Awf (Algemeen werkloosheidsfonds);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sectorpremie (premie voor het sectorfonds).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overheidsinstellingen die eigenrisicodrager WW zijn, is er de Ufo-premie).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is geen WW-premie verschuldigd, de werkgever 2,44% (2016).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WGA-flexpremie is afhankelijk:</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van het aantal werknemers dat in de WGA is ‘ingestroomd’;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van het feit of de onderneming tot de kleine, de middelgrote of de grote werkgevers wordt </w:t>
      </w:r>
      <w:r>
        <w:rPr>
          <w:rFonts w:ascii="Times New Roman" w:hAnsi="Times New Roman"/>
          <w:sz w:val="22"/>
          <w:szCs w:val="22"/>
        </w:rPr>
        <w:tab/>
        <w:t>gerekend, gebaseerd op de premieloonsom.</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WGA-flexpremie. Kleine werkgevers hebben een WGA-flexpremie die per sector is vastgesteld. Bij middelgrote werkgevers is het een combinatie van deze twee systemen, waarbij het individuele deel toeneemt naarmate de premieloonsom hoger is.</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Premievrijstelling marginale arbeid: Bij indienstneming van een uitkeringsgerechtigde voor een periode van niet meer dan 6 aaneengesloten weken, hoeven geen premies werknemersverzekeringen te worden afgedragen.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 en bij pseudowerknemers (opting-in).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Hij ontvangt zelf van de Belastingdienst de teveel afgedragen Zvw-bijdrage als zelfstandige (5,50%) terug. Hierdoor wordt de hogere bijdrage over het loon (6,75%) voor de fiscus behouden (percentages 2016).</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 (vroeger premie Wgf-Wachtgeldfonds genoemd).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lage percentage sectorpremie (2016: 1,02%), risicogroep lang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 WIA geldt alleen voor ‘nieuwe’ arbeidsongeschikten.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Kortingsmogelijkheden voor de premies werknemersverzekeringen: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premiekorting voor de oudere werknemer;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premiekorting voor de arbeidsgehandicapte werknemer;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premievrijstelling marginale arbeid;</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De tijdelijke premiekorting jongere werknemer is vanaf 2016 niet meer van toepassing.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 Bij een arbeidsgehandicapte werknemer met een werkweek van 18 uur.</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ab/>
        <w:t>b. Bij een jonggehandicapte werknemer met een werkweek van tenminste 36 uur, aan wie de werkgever vanwege de arbeidsbeperking minder betaalt dan het minimumloon (loondispensatie).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Dit is het geval bij een pensioenuitkering en bij een betaling aan een dga die niet verzekerd is voor de werknemersverzekeringen. Kolom 8 blijft dan leeg, maar er is wel sprake van loon voor de Zvw (kolom 12).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bereken de grondslag voor de werknemersverzekeringen (kolom 8 van de loonstaat);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bereken het totaal van de grondslagen tot en met het loontijdvak;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neem het totaal van de grondslagen tot en met het vorige loontijdvak;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trek de gevonden bedragen van elkaar af: u vindt de aanwas per loontijdvak;</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bereken hierover de premies, rekening houdend met het maximumpremieloon.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loonbelasting;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premie volksverzekeringen;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premie werknemersverzekeringen;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 (2016).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WIA-premie bestaat uit: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basispremie WIA (voor IVA en WGA), die samengevoegd is met de basispremie WAO;</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premie WGA-vast, WGA-flex en ZW-flex, samen geheven als gedifferentieerde premie </w:t>
      </w:r>
      <w:r>
        <w:rPr>
          <w:rFonts w:ascii="Times New Roman" w:hAnsi="Times New Roman"/>
          <w:sz w:val="22"/>
          <w:szCs w:val="22"/>
        </w:rPr>
        <w:tab/>
        <w:t>Whk.</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Er hoeven minder premies WAO/WIA en WW te worden afgedragen voor een werknemer die 56 jaar of ouder is en die uit een uitkeringssituatie komt.</w:t>
      </w:r>
    </w:p>
    <w:p w:rsidR="0007384B" w:rsidRPr="00583283"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583283">
        <w:rPr>
          <w:rFonts w:ascii="Times New Roman" w:hAnsi="Times New Roman"/>
          <w:sz w:val="22"/>
          <w:szCs w:val="22"/>
        </w:rPr>
        <w:t>In kolom 8.</w:t>
      </w:r>
    </w:p>
    <w:p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Voor de WGA-vast en de ZW. Wellicht vanaf 2017 ook voor de WGA-flex.</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loon opting-in;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loon dga niet verzekerd voor de werknemersverzekeringen;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pensioen en AOW vanaf de AOW-gerechtigde leeftijd;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vut en prepensioen na 2006 ingegaan;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 lijfrente-uitkering; </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periodieke uitkering op grond van een stamrecht.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premie ZW-flex is onderdeel van de gedifferentieerde Whk-premie.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Het loon voor de loonheffing staat 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De loonheffing wordt berekend met gebruikmaking van tabellen.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Onjuist. Als hij in de laatste 3 jaar eigenrisicodrager is geweest, wordt zijn aanvraag afgewezen.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 de meeste gevallen is een werkgeversheffing verschuldigd, die niet op het loon wordt ingehouden. Bij enkele specifieke groepen is de Zvw-bijdrage wel door de werknemer/uitkeringsgerechtigde verschuldigd, zoals bij gepensioneerden, pseudowerknemers en dga's die niet verzekerd zijn voor de werknemersverzekerin-gen.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Deze indeling geschiedt door 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Het betreft hier een werknemer met een Wajong-indicatie. Ingaande 2016 valt deze onder de doelgroep Banenafspraak, waarvoor een premiekorting van € 2.000 geldt.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Het is andersom. De nominale Zvw-premie is pas verschuldigd met ingang van de maand nadat iemand 18 jaar is geworden. De inkomensafhankelijke bijdrage moet voor elke werknemer worden afgedragen, ook al is deze nog geen 18 jaar.</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In dit soort situaties wordt meer afgedragen dan de maximale Zvw-bijdrage.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Hij draagt dit risico gedurende 10 jaar.</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Dat is UWV.</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Kolom 8 blijft leeg, omdat een pensioen loon uit vroegere dienstbetrekking is, waarover geen premies werknemersverzekeringen verschuldigd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Voor zeevarenden geldt een inkomensafhankelijke bijdrage van 0,0%.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Eigenrisicodragerschap is mogelijk voor de WGA-vast en de ZW.</w:t>
      </w:r>
    </w:p>
    <w:p w:rsidR="0007384B" w:rsidRPr="00304E42"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Deze </w:t>
      </w:r>
      <w:r>
        <w:rPr>
          <w:rFonts w:ascii="Times New Roman" w:eastAsia="ArialMT-Identity-H" w:hAnsi="Times New Roman"/>
          <w:sz w:val="22"/>
          <w:szCs w:val="22"/>
        </w:rPr>
        <w:t xml:space="preserve">betaalt </w:t>
      </w:r>
      <w:r w:rsidRPr="00304E42">
        <w:rPr>
          <w:rFonts w:ascii="Times New Roman" w:eastAsia="ArialMT-Identity-H" w:hAnsi="Times New Roman"/>
          <w:sz w:val="22"/>
          <w:szCs w:val="22"/>
        </w:rPr>
        <w:t>niet het premiedeel WGA-vast, maar wel het premiedeel WGA-flex.</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Juist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rsidR="0007384B" w:rsidRDefault="0007384B" w:rsidP="0007384B">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158"/>
      </w:tblGrid>
      <w:tr w:rsidR="0007384B" w:rsidTr="00B36CA2">
        <w:tc>
          <w:tcPr>
            <w:tcW w:w="1368" w:type="dxa"/>
          </w:tcPr>
          <w:p w:rsidR="0007384B" w:rsidRDefault="0007384B" w:rsidP="00B36CA2">
            <w:pPr>
              <w:rPr>
                <w:szCs w:val="22"/>
              </w:rPr>
            </w:pPr>
            <w:r>
              <w:rPr>
                <w:szCs w:val="22"/>
              </w:rPr>
              <w:t>Kolom 1</w:t>
            </w:r>
          </w:p>
        </w:tc>
        <w:tc>
          <w:tcPr>
            <w:tcW w:w="5760" w:type="dxa"/>
          </w:tcPr>
          <w:p w:rsidR="0007384B" w:rsidRDefault="0007384B" w:rsidP="00B36CA2">
            <w:pPr>
              <w:rPr>
                <w:szCs w:val="22"/>
              </w:rPr>
            </w:pPr>
            <w:r>
              <w:rPr>
                <w:szCs w:val="22"/>
              </w:rPr>
              <w:t>Loontijdvak</w:t>
            </w:r>
          </w:p>
        </w:tc>
        <w:tc>
          <w:tcPr>
            <w:tcW w:w="2158" w:type="dxa"/>
          </w:tcPr>
          <w:p w:rsidR="0007384B" w:rsidRDefault="0007384B" w:rsidP="00B36CA2">
            <w:pPr>
              <w:jc w:val="right"/>
              <w:rPr>
                <w:szCs w:val="22"/>
              </w:rPr>
            </w:pPr>
            <w:r>
              <w:rPr>
                <w:szCs w:val="22"/>
              </w:rPr>
              <w:t>September 2015</w:t>
            </w:r>
          </w:p>
        </w:tc>
      </w:tr>
      <w:tr w:rsidR="0007384B" w:rsidTr="00B36CA2">
        <w:tc>
          <w:tcPr>
            <w:tcW w:w="1368" w:type="dxa"/>
          </w:tcPr>
          <w:p w:rsidR="0007384B" w:rsidRDefault="0007384B" w:rsidP="00B36CA2">
            <w:pPr>
              <w:rPr>
                <w:szCs w:val="22"/>
              </w:rPr>
            </w:pPr>
            <w:r>
              <w:rPr>
                <w:szCs w:val="22"/>
              </w:rPr>
              <w:t>Kolom 2</w:t>
            </w:r>
          </w:p>
        </w:tc>
        <w:tc>
          <w:tcPr>
            <w:tcW w:w="5760" w:type="dxa"/>
          </w:tcPr>
          <w:p w:rsidR="0007384B" w:rsidRDefault="0007384B" w:rsidP="00B36CA2">
            <w:pPr>
              <w:rPr>
                <w:szCs w:val="22"/>
              </w:rPr>
            </w:pPr>
            <w:r>
              <w:rPr>
                <w:szCs w:val="22"/>
              </w:rPr>
              <w:t>Nummer inkomstenverhouding</w:t>
            </w:r>
          </w:p>
        </w:tc>
        <w:tc>
          <w:tcPr>
            <w:tcW w:w="2158" w:type="dxa"/>
          </w:tcPr>
          <w:p w:rsidR="0007384B" w:rsidRDefault="0007384B" w:rsidP="00B36CA2">
            <w:pPr>
              <w:jc w:val="right"/>
              <w:rPr>
                <w:szCs w:val="22"/>
              </w:rPr>
            </w:pPr>
            <w:r>
              <w:rPr>
                <w:szCs w:val="22"/>
              </w:rPr>
              <w:t>1</w:t>
            </w:r>
          </w:p>
        </w:tc>
      </w:tr>
      <w:tr w:rsidR="0007384B" w:rsidTr="00B36CA2">
        <w:tc>
          <w:tcPr>
            <w:tcW w:w="1368" w:type="dxa"/>
          </w:tcPr>
          <w:p w:rsidR="0007384B" w:rsidRDefault="0007384B" w:rsidP="00B36CA2">
            <w:pPr>
              <w:rPr>
                <w:szCs w:val="22"/>
              </w:rPr>
            </w:pPr>
            <w:r>
              <w:rPr>
                <w:szCs w:val="22"/>
              </w:rPr>
              <w:t>Kolom 3</w:t>
            </w:r>
          </w:p>
        </w:tc>
        <w:tc>
          <w:tcPr>
            <w:tcW w:w="5760" w:type="dxa"/>
          </w:tcPr>
          <w:p w:rsidR="0007384B" w:rsidRDefault="0007384B" w:rsidP="00B36CA2">
            <w:pPr>
              <w:rPr>
                <w:szCs w:val="22"/>
              </w:rPr>
            </w:pPr>
            <w:r>
              <w:rPr>
                <w:szCs w:val="22"/>
              </w:rPr>
              <w:t>Loon in geld (€ 2.200 + € 800)</w:t>
            </w:r>
          </w:p>
        </w:tc>
        <w:tc>
          <w:tcPr>
            <w:tcW w:w="2158" w:type="dxa"/>
          </w:tcPr>
          <w:p w:rsidR="0007384B" w:rsidRDefault="0007384B" w:rsidP="00B36CA2">
            <w:pPr>
              <w:jc w:val="right"/>
              <w:rPr>
                <w:szCs w:val="22"/>
              </w:rPr>
            </w:pPr>
            <w:r>
              <w:rPr>
                <w:szCs w:val="22"/>
              </w:rPr>
              <w:t xml:space="preserve">    3.000</w:t>
            </w:r>
          </w:p>
        </w:tc>
      </w:tr>
      <w:tr w:rsidR="0007384B" w:rsidTr="00B36CA2">
        <w:tc>
          <w:tcPr>
            <w:tcW w:w="1368" w:type="dxa"/>
          </w:tcPr>
          <w:p w:rsidR="0007384B" w:rsidRDefault="0007384B" w:rsidP="00B36CA2">
            <w:pPr>
              <w:rPr>
                <w:szCs w:val="22"/>
              </w:rPr>
            </w:pPr>
            <w:r>
              <w:rPr>
                <w:szCs w:val="22"/>
              </w:rPr>
              <w:t>Kolom 4</w:t>
            </w:r>
          </w:p>
        </w:tc>
        <w:tc>
          <w:tcPr>
            <w:tcW w:w="5760" w:type="dxa"/>
          </w:tcPr>
          <w:p w:rsidR="0007384B" w:rsidRDefault="0007384B" w:rsidP="00B36CA2">
            <w:pPr>
              <w:rPr>
                <w:szCs w:val="22"/>
              </w:rPr>
            </w:pPr>
            <w:r>
              <w:rPr>
                <w:szCs w:val="22"/>
              </w:rPr>
              <w:t>Loon anders dan in geld</w:t>
            </w:r>
          </w:p>
        </w:tc>
        <w:tc>
          <w:tcPr>
            <w:tcW w:w="2158" w:type="dxa"/>
          </w:tcPr>
          <w:p w:rsidR="0007384B" w:rsidRDefault="0007384B" w:rsidP="00B36CA2">
            <w:pPr>
              <w:jc w:val="right"/>
              <w:rPr>
                <w:szCs w:val="22"/>
              </w:rPr>
            </w:pPr>
            <w:r>
              <w:rPr>
                <w:szCs w:val="22"/>
              </w:rPr>
              <w:t>300</w:t>
            </w:r>
          </w:p>
        </w:tc>
      </w:tr>
      <w:tr w:rsidR="0007384B" w:rsidTr="00B36CA2">
        <w:tc>
          <w:tcPr>
            <w:tcW w:w="1368" w:type="dxa"/>
          </w:tcPr>
          <w:p w:rsidR="0007384B" w:rsidRDefault="0007384B" w:rsidP="00B36CA2">
            <w:pPr>
              <w:rPr>
                <w:szCs w:val="22"/>
              </w:rPr>
            </w:pPr>
            <w:r>
              <w:rPr>
                <w:szCs w:val="22"/>
              </w:rPr>
              <w:t>Kolom 5</w:t>
            </w:r>
          </w:p>
        </w:tc>
        <w:tc>
          <w:tcPr>
            <w:tcW w:w="5760" w:type="dxa"/>
          </w:tcPr>
          <w:p w:rsidR="0007384B" w:rsidRDefault="0007384B" w:rsidP="00B36CA2">
            <w:pPr>
              <w:rPr>
                <w:szCs w:val="22"/>
              </w:rPr>
            </w:pPr>
            <w:r>
              <w:rPr>
                <w:szCs w:val="22"/>
              </w:rPr>
              <w:t>Fooien en uitkeringen uit fondsen</w:t>
            </w:r>
          </w:p>
        </w:tc>
        <w:tc>
          <w:tcPr>
            <w:tcW w:w="2158" w:type="dxa"/>
          </w:tcPr>
          <w:p w:rsidR="0007384B" w:rsidRDefault="0007384B" w:rsidP="00B36CA2">
            <w:pPr>
              <w:jc w:val="right"/>
              <w:rPr>
                <w:szCs w:val="22"/>
              </w:rPr>
            </w:pPr>
          </w:p>
        </w:tc>
      </w:tr>
      <w:tr w:rsidR="0007384B" w:rsidTr="00B36CA2">
        <w:tc>
          <w:tcPr>
            <w:tcW w:w="1368" w:type="dxa"/>
          </w:tcPr>
          <w:p w:rsidR="0007384B" w:rsidRDefault="0007384B" w:rsidP="00B36CA2">
            <w:pPr>
              <w:rPr>
                <w:szCs w:val="22"/>
              </w:rPr>
            </w:pPr>
            <w:r>
              <w:rPr>
                <w:szCs w:val="22"/>
              </w:rPr>
              <w:t>Kolom 7</w:t>
            </w:r>
          </w:p>
        </w:tc>
        <w:tc>
          <w:tcPr>
            <w:tcW w:w="5760" w:type="dxa"/>
          </w:tcPr>
          <w:p w:rsidR="0007384B" w:rsidRDefault="0007384B" w:rsidP="00B36CA2">
            <w:pPr>
              <w:rPr>
                <w:szCs w:val="22"/>
              </w:rPr>
            </w:pPr>
            <w:r>
              <w:rPr>
                <w:szCs w:val="22"/>
              </w:rPr>
              <w:t>Aftrekposten voor alle heffingen (€ 150 + €100)</w:t>
            </w:r>
          </w:p>
        </w:tc>
        <w:tc>
          <w:tcPr>
            <w:tcW w:w="2158" w:type="dxa"/>
          </w:tcPr>
          <w:p w:rsidR="0007384B" w:rsidRDefault="0007384B" w:rsidP="00B36CA2">
            <w:pPr>
              <w:jc w:val="right"/>
              <w:rPr>
                <w:szCs w:val="22"/>
              </w:rPr>
            </w:pPr>
            <w:r>
              <w:rPr>
                <w:szCs w:val="22"/>
              </w:rPr>
              <w:t xml:space="preserve">    250</w:t>
            </w:r>
          </w:p>
        </w:tc>
      </w:tr>
      <w:tr w:rsidR="0007384B" w:rsidTr="00B36CA2">
        <w:tc>
          <w:tcPr>
            <w:tcW w:w="1368" w:type="dxa"/>
          </w:tcPr>
          <w:p w:rsidR="0007384B" w:rsidRDefault="0007384B" w:rsidP="00B36CA2">
            <w:pPr>
              <w:rPr>
                <w:szCs w:val="22"/>
              </w:rPr>
            </w:pPr>
            <w:r>
              <w:rPr>
                <w:szCs w:val="22"/>
              </w:rPr>
              <w:t>Kolom 8</w:t>
            </w:r>
          </w:p>
        </w:tc>
        <w:tc>
          <w:tcPr>
            <w:tcW w:w="5760" w:type="dxa"/>
          </w:tcPr>
          <w:p w:rsidR="0007384B" w:rsidRDefault="0007384B" w:rsidP="00B36CA2">
            <w:pPr>
              <w:rPr>
                <w:szCs w:val="22"/>
              </w:rPr>
            </w:pPr>
            <w:r>
              <w:rPr>
                <w:szCs w:val="22"/>
              </w:rPr>
              <w:t>Loon voor de werknemersverzekeringen</w:t>
            </w:r>
          </w:p>
        </w:tc>
        <w:tc>
          <w:tcPr>
            <w:tcW w:w="2158" w:type="dxa"/>
          </w:tcPr>
          <w:p w:rsidR="0007384B" w:rsidRDefault="0007384B" w:rsidP="00B36CA2">
            <w:pPr>
              <w:jc w:val="right"/>
              <w:rPr>
                <w:szCs w:val="22"/>
              </w:rPr>
            </w:pPr>
            <w:r>
              <w:rPr>
                <w:szCs w:val="22"/>
              </w:rPr>
              <w:t xml:space="preserve">    3.050</w:t>
            </w:r>
          </w:p>
        </w:tc>
      </w:tr>
      <w:tr w:rsidR="0007384B" w:rsidTr="00B36CA2">
        <w:tc>
          <w:tcPr>
            <w:tcW w:w="1368" w:type="dxa"/>
          </w:tcPr>
          <w:p w:rsidR="0007384B" w:rsidRDefault="0007384B" w:rsidP="00B36CA2">
            <w:pPr>
              <w:rPr>
                <w:szCs w:val="22"/>
              </w:rPr>
            </w:pPr>
            <w:r>
              <w:rPr>
                <w:szCs w:val="22"/>
              </w:rPr>
              <w:t>Kolom 12</w:t>
            </w:r>
          </w:p>
        </w:tc>
        <w:tc>
          <w:tcPr>
            <w:tcW w:w="5760" w:type="dxa"/>
          </w:tcPr>
          <w:p w:rsidR="0007384B" w:rsidRDefault="0007384B" w:rsidP="00B36CA2">
            <w:pPr>
              <w:rPr>
                <w:szCs w:val="22"/>
              </w:rPr>
            </w:pPr>
            <w:r>
              <w:rPr>
                <w:szCs w:val="22"/>
              </w:rPr>
              <w:t>Loon voor de Zorgverzekeringswet</w:t>
            </w:r>
          </w:p>
        </w:tc>
        <w:tc>
          <w:tcPr>
            <w:tcW w:w="2158" w:type="dxa"/>
          </w:tcPr>
          <w:p w:rsidR="0007384B" w:rsidRDefault="0007384B" w:rsidP="00B36CA2">
            <w:pPr>
              <w:jc w:val="right"/>
              <w:rPr>
                <w:szCs w:val="22"/>
              </w:rPr>
            </w:pPr>
            <w:r>
              <w:rPr>
                <w:szCs w:val="22"/>
              </w:rPr>
              <w:t xml:space="preserve">    3.050</w:t>
            </w:r>
          </w:p>
        </w:tc>
      </w:tr>
      <w:tr w:rsidR="0007384B" w:rsidTr="00B36CA2">
        <w:tc>
          <w:tcPr>
            <w:tcW w:w="1368" w:type="dxa"/>
          </w:tcPr>
          <w:p w:rsidR="0007384B" w:rsidRDefault="0007384B" w:rsidP="00B36CA2">
            <w:pPr>
              <w:rPr>
                <w:szCs w:val="22"/>
              </w:rPr>
            </w:pPr>
            <w:r>
              <w:rPr>
                <w:szCs w:val="22"/>
              </w:rPr>
              <w:t>Kolom 14</w:t>
            </w:r>
          </w:p>
        </w:tc>
        <w:tc>
          <w:tcPr>
            <w:tcW w:w="5760" w:type="dxa"/>
          </w:tcPr>
          <w:p w:rsidR="0007384B" w:rsidRDefault="0007384B" w:rsidP="00B36CA2">
            <w:pPr>
              <w:rPr>
                <w:szCs w:val="22"/>
              </w:rPr>
            </w:pPr>
            <w:r>
              <w:rPr>
                <w:szCs w:val="22"/>
              </w:rPr>
              <w:t>Loon voor de loonbelasting/volksverzekeringen</w:t>
            </w:r>
          </w:p>
        </w:tc>
        <w:tc>
          <w:tcPr>
            <w:tcW w:w="2158" w:type="dxa"/>
          </w:tcPr>
          <w:p w:rsidR="0007384B" w:rsidRDefault="0007384B" w:rsidP="00B36CA2">
            <w:pPr>
              <w:jc w:val="right"/>
              <w:rPr>
                <w:szCs w:val="22"/>
              </w:rPr>
            </w:pPr>
            <w:r>
              <w:rPr>
                <w:szCs w:val="22"/>
              </w:rPr>
              <w:t xml:space="preserve">    3.050</w:t>
            </w:r>
          </w:p>
        </w:tc>
      </w:tr>
      <w:tr w:rsidR="0007384B" w:rsidTr="00B36CA2">
        <w:tc>
          <w:tcPr>
            <w:tcW w:w="1368" w:type="dxa"/>
          </w:tcPr>
          <w:p w:rsidR="0007384B" w:rsidRDefault="0007384B" w:rsidP="00B36CA2">
            <w:pPr>
              <w:rPr>
                <w:szCs w:val="22"/>
              </w:rPr>
            </w:pPr>
            <w:r>
              <w:rPr>
                <w:szCs w:val="22"/>
              </w:rPr>
              <w:t>Kolom 15</w:t>
            </w:r>
          </w:p>
        </w:tc>
        <w:tc>
          <w:tcPr>
            <w:tcW w:w="5760" w:type="dxa"/>
          </w:tcPr>
          <w:p w:rsidR="0007384B" w:rsidRDefault="0007384B" w:rsidP="00B36CA2">
            <w:pPr>
              <w:rPr>
                <w:szCs w:val="22"/>
              </w:rPr>
            </w:pPr>
            <w:r>
              <w:rPr>
                <w:szCs w:val="22"/>
              </w:rPr>
              <w:t>Ingehouden loonbelasting/premie volksverzekeringen</w:t>
            </w:r>
          </w:p>
        </w:tc>
        <w:tc>
          <w:tcPr>
            <w:tcW w:w="2158" w:type="dxa"/>
          </w:tcPr>
          <w:p w:rsidR="0007384B" w:rsidRDefault="0007384B" w:rsidP="00B36CA2">
            <w:pPr>
              <w:jc w:val="right"/>
              <w:rPr>
                <w:szCs w:val="22"/>
              </w:rPr>
            </w:pPr>
            <w:r>
              <w:rPr>
                <w:szCs w:val="22"/>
              </w:rPr>
              <w:t xml:space="preserve">    850</w:t>
            </w:r>
          </w:p>
        </w:tc>
      </w:tr>
      <w:tr w:rsidR="0007384B" w:rsidTr="00B36CA2">
        <w:tc>
          <w:tcPr>
            <w:tcW w:w="1368" w:type="dxa"/>
          </w:tcPr>
          <w:p w:rsidR="0007384B" w:rsidRDefault="0007384B" w:rsidP="00B36CA2">
            <w:pPr>
              <w:rPr>
                <w:szCs w:val="22"/>
              </w:rPr>
            </w:pPr>
            <w:r>
              <w:rPr>
                <w:szCs w:val="22"/>
              </w:rPr>
              <w:t>Kolom 16</w:t>
            </w:r>
          </w:p>
        </w:tc>
        <w:tc>
          <w:tcPr>
            <w:tcW w:w="5760" w:type="dxa"/>
          </w:tcPr>
          <w:p w:rsidR="0007384B" w:rsidRDefault="0007384B" w:rsidP="00B36CA2">
            <w:pPr>
              <w:rPr>
                <w:szCs w:val="22"/>
              </w:rPr>
            </w:pPr>
            <w:r>
              <w:rPr>
                <w:szCs w:val="22"/>
              </w:rPr>
              <w:t>Ingehouden bijdrage Zvw</w:t>
            </w:r>
          </w:p>
        </w:tc>
        <w:tc>
          <w:tcPr>
            <w:tcW w:w="2158" w:type="dxa"/>
          </w:tcPr>
          <w:p w:rsidR="0007384B" w:rsidRDefault="0007384B" w:rsidP="00B36CA2">
            <w:pPr>
              <w:jc w:val="right"/>
              <w:rPr>
                <w:szCs w:val="22"/>
              </w:rPr>
            </w:pPr>
          </w:p>
        </w:tc>
      </w:tr>
      <w:tr w:rsidR="0007384B" w:rsidTr="00B36CA2">
        <w:tc>
          <w:tcPr>
            <w:tcW w:w="1368" w:type="dxa"/>
          </w:tcPr>
          <w:p w:rsidR="0007384B" w:rsidRDefault="0007384B" w:rsidP="00B36CA2">
            <w:pPr>
              <w:rPr>
                <w:szCs w:val="22"/>
              </w:rPr>
            </w:pPr>
            <w:r>
              <w:rPr>
                <w:szCs w:val="22"/>
              </w:rPr>
              <w:t>Kolom 17</w:t>
            </w:r>
          </w:p>
        </w:tc>
        <w:tc>
          <w:tcPr>
            <w:tcW w:w="5760" w:type="dxa"/>
          </w:tcPr>
          <w:p w:rsidR="0007384B" w:rsidRDefault="0007384B" w:rsidP="00B36CA2">
            <w:pPr>
              <w:rPr>
                <w:szCs w:val="22"/>
              </w:rPr>
            </w:pPr>
            <w:r>
              <w:rPr>
                <w:szCs w:val="22"/>
              </w:rPr>
              <w:t>Uitbetaald (kolom 3-7-15-16)</w:t>
            </w:r>
          </w:p>
        </w:tc>
        <w:tc>
          <w:tcPr>
            <w:tcW w:w="2158" w:type="dxa"/>
          </w:tcPr>
          <w:p w:rsidR="0007384B" w:rsidRDefault="0007384B" w:rsidP="00B36CA2">
            <w:pPr>
              <w:jc w:val="right"/>
              <w:rPr>
                <w:szCs w:val="22"/>
              </w:rPr>
            </w:pPr>
            <w:r>
              <w:rPr>
                <w:szCs w:val="22"/>
              </w:rPr>
              <w:t xml:space="preserve">    1.900</w:t>
            </w:r>
          </w:p>
        </w:tc>
      </w:tr>
      <w:tr w:rsidR="0007384B" w:rsidTr="00B36CA2">
        <w:tc>
          <w:tcPr>
            <w:tcW w:w="1368" w:type="dxa"/>
          </w:tcPr>
          <w:p w:rsidR="0007384B" w:rsidRDefault="0007384B" w:rsidP="00B36CA2">
            <w:pPr>
              <w:rPr>
                <w:szCs w:val="22"/>
              </w:rPr>
            </w:pPr>
            <w:r>
              <w:rPr>
                <w:szCs w:val="22"/>
              </w:rPr>
              <w:t>Kolom 18</w:t>
            </w:r>
          </w:p>
        </w:tc>
        <w:tc>
          <w:tcPr>
            <w:tcW w:w="5760" w:type="dxa"/>
          </w:tcPr>
          <w:p w:rsidR="0007384B" w:rsidRDefault="0007384B" w:rsidP="00B36CA2">
            <w:pPr>
              <w:rPr>
                <w:szCs w:val="22"/>
              </w:rPr>
            </w:pPr>
            <w:r>
              <w:rPr>
                <w:szCs w:val="22"/>
              </w:rPr>
              <w:t>Verrekende arbeidskorting</w:t>
            </w:r>
          </w:p>
        </w:tc>
        <w:tc>
          <w:tcPr>
            <w:tcW w:w="2158" w:type="dxa"/>
          </w:tcPr>
          <w:p w:rsidR="0007384B" w:rsidRDefault="0007384B" w:rsidP="00B36CA2">
            <w:pPr>
              <w:jc w:val="right"/>
              <w:rPr>
                <w:szCs w:val="22"/>
              </w:rPr>
            </w:pPr>
            <w:r>
              <w:rPr>
                <w:szCs w:val="22"/>
              </w:rPr>
              <w:t xml:space="preserve">    185</w:t>
            </w:r>
          </w:p>
        </w:tc>
      </w:tr>
      <w:tr w:rsidR="0007384B" w:rsidTr="00B36CA2">
        <w:tc>
          <w:tcPr>
            <w:tcW w:w="1368" w:type="dxa"/>
          </w:tcPr>
          <w:p w:rsidR="0007384B" w:rsidRDefault="0007384B" w:rsidP="00B36CA2">
            <w:pPr>
              <w:rPr>
                <w:szCs w:val="22"/>
              </w:rPr>
            </w:pPr>
            <w:r>
              <w:rPr>
                <w:szCs w:val="22"/>
              </w:rPr>
              <w:t>Kolom 19</w:t>
            </w:r>
          </w:p>
        </w:tc>
        <w:tc>
          <w:tcPr>
            <w:tcW w:w="5760" w:type="dxa"/>
          </w:tcPr>
          <w:p w:rsidR="0007384B" w:rsidRDefault="0007384B" w:rsidP="00B36CA2">
            <w:pPr>
              <w:rPr>
                <w:szCs w:val="22"/>
              </w:rPr>
            </w:pPr>
            <w:r>
              <w:rPr>
                <w:szCs w:val="22"/>
              </w:rPr>
              <w:t>Levensloopverlofkorting</w:t>
            </w:r>
          </w:p>
        </w:tc>
        <w:tc>
          <w:tcPr>
            <w:tcW w:w="2158" w:type="dxa"/>
          </w:tcPr>
          <w:p w:rsidR="0007384B" w:rsidRDefault="0007384B" w:rsidP="00B36CA2">
            <w:pPr>
              <w:jc w:val="right"/>
              <w:rPr>
                <w:szCs w:val="22"/>
              </w:rPr>
            </w:pP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lastRenderedPageBreak/>
        <w:tab/>
        <w:t>f. Inkomensafhankelijke bijdrage Zvw. Hiervoor geldt hetzelfde.</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WW-Awf (in euro’s)</w:t>
      </w:r>
    </w:p>
    <w:p w:rsidR="0007384B" w:rsidRDefault="0007384B" w:rsidP="0007384B">
      <w:pPr>
        <w:pStyle w:val="Tekstzonderopmaak"/>
        <w:ind w:left="708" w:hanging="708"/>
        <w:rPr>
          <w:rFonts w:ascii="Times New Roman" w:hAnsi="Times New Roman"/>
          <w:sz w:val="22"/>
          <w:szCs w:val="22"/>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1134"/>
        <w:gridCol w:w="1701"/>
        <w:gridCol w:w="1276"/>
        <w:gridCol w:w="992"/>
        <w:gridCol w:w="1134"/>
        <w:gridCol w:w="1629"/>
      </w:tblGrid>
      <w:tr w:rsidR="0007384B" w:rsidTr="00B36CA2">
        <w:tc>
          <w:tcPr>
            <w:tcW w:w="916" w:type="dxa"/>
          </w:tcPr>
          <w:p w:rsidR="0007384B" w:rsidRDefault="0007384B" w:rsidP="00B36CA2">
            <w:pPr>
              <w:rPr>
                <w:b/>
              </w:rPr>
            </w:pPr>
            <w:r>
              <w:rPr>
                <w:b/>
              </w:rPr>
              <w:t>Maand</w:t>
            </w:r>
          </w:p>
        </w:tc>
        <w:tc>
          <w:tcPr>
            <w:tcW w:w="1134" w:type="dxa"/>
          </w:tcPr>
          <w:p w:rsidR="0007384B" w:rsidRDefault="0007384B" w:rsidP="00B36CA2">
            <w:pPr>
              <w:rPr>
                <w:b/>
              </w:rPr>
            </w:pPr>
            <w:r>
              <w:rPr>
                <w:b/>
              </w:rPr>
              <w:t>Loon wn-verzeke-ringen</w:t>
            </w:r>
          </w:p>
        </w:tc>
        <w:tc>
          <w:tcPr>
            <w:tcW w:w="1701" w:type="dxa"/>
          </w:tcPr>
          <w:p w:rsidR="0007384B" w:rsidRDefault="0007384B" w:rsidP="00B36CA2">
            <w:pPr>
              <w:rPr>
                <w:b/>
              </w:rPr>
            </w:pPr>
            <w:r>
              <w:rPr>
                <w:b/>
              </w:rPr>
              <w:t>Cumulatief loon wn-verzekeringen</w:t>
            </w:r>
          </w:p>
        </w:tc>
        <w:tc>
          <w:tcPr>
            <w:tcW w:w="1276" w:type="dxa"/>
          </w:tcPr>
          <w:p w:rsidR="0007384B" w:rsidRDefault="0007384B" w:rsidP="00B36CA2">
            <w:pPr>
              <w:rPr>
                <w:b/>
              </w:rPr>
            </w:pPr>
            <w:r>
              <w:rPr>
                <w:b/>
              </w:rPr>
              <w:t>Cumulatief maximum premieloon</w:t>
            </w:r>
          </w:p>
        </w:tc>
        <w:tc>
          <w:tcPr>
            <w:tcW w:w="992" w:type="dxa"/>
          </w:tcPr>
          <w:p w:rsidR="0007384B" w:rsidRDefault="0007384B" w:rsidP="00B36CA2">
            <w:pPr>
              <w:rPr>
                <w:b/>
              </w:rPr>
            </w:pPr>
            <w:r>
              <w:rPr>
                <w:b/>
              </w:rPr>
              <w:t>Cumula-tief pre-mieloon</w:t>
            </w:r>
          </w:p>
        </w:tc>
        <w:tc>
          <w:tcPr>
            <w:tcW w:w="1134" w:type="dxa"/>
          </w:tcPr>
          <w:p w:rsidR="0007384B" w:rsidRDefault="0007384B" w:rsidP="00B36CA2">
            <w:pPr>
              <w:rPr>
                <w:b/>
              </w:rPr>
            </w:pPr>
            <w:r>
              <w:rPr>
                <w:b/>
              </w:rPr>
              <w:t>Aanwas per loon-tijdvak</w:t>
            </w:r>
          </w:p>
        </w:tc>
        <w:tc>
          <w:tcPr>
            <w:tcW w:w="1629" w:type="dxa"/>
          </w:tcPr>
          <w:p w:rsidR="0007384B" w:rsidRDefault="0007384B" w:rsidP="00B36CA2">
            <w:pPr>
              <w:rPr>
                <w:b/>
              </w:rPr>
            </w:pPr>
            <w:r>
              <w:rPr>
                <w:b/>
              </w:rPr>
              <w:t>Premie Ww-Awf per maand</w:t>
            </w:r>
          </w:p>
          <w:p w:rsidR="0007384B" w:rsidRDefault="0007384B" w:rsidP="00B36CA2">
            <w:pPr>
              <w:rPr>
                <w:b/>
              </w:rPr>
            </w:pPr>
            <w:r>
              <w:rPr>
                <w:b/>
              </w:rPr>
              <w:t>(2,44%)</w:t>
            </w:r>
          </w:p>
        </w:tc>
      </w:tr>
      <w:tr w:rsidR="0007384B" w:rsidTr="00B36CA2">
        <w:tc>
          <w:tcPr>
            <w:tcW w:w="916" w:type="dxa"/>
          </w:tcPr>
          <w:p w:rsidR="0007384B" w:rsidRDefault="0007384B" w:rsidP="00B36CA2">
            <w:r>
              <w:t>Januari</w:t>
            </w:r>
          </w:p>
        </w:tc>
        <w:tc>
          <w:tcPr>
            <w:tcW w:w="1134" w:type="dxa"/>
          </w:tcPr>
          <w:p w:rsidR="0007384B" w:rsidRDefault="0007384B" w:rsidP="00B36CA2">
            <w:pPr>
              <w:jc w:val="right"/>
            </w:pPr>
            <w:r>
              <w:t>1.425,00</w:t>
            </w:r>
          </w:p>
        </w:tc>
        <w:tc>
          <w:tcPr>
            <w:tcW w:w="1701" w:type="dxa"/>
          </w:tcPr>
          <w:p w:rsidR="0007384B" w:rsidRDefault="0007384B" w:rsidP="00B36CA2">
            <w:pPr>
              <w:jc w:val="right"/>
            </w:pPr>
            <w:r>
              <w:t>1.425,00</w:t>
            </w:r>
          </w:p>
        </w:tc>
        <w:tc>
          <w:tcPr>
            <w:tcW w:w="1276" w:type="dxa"/>
          </w:tcPr>
          <w:p w:rsidR="0007384B" w:rsidRDefault="0007384B" w:rsidP="00B36CA2">
            <w:pPr>
              <w:jc w:val="right"/>
            </w:pPr>
            <w:r>
              <w:t>4.396,91</w:t>
            </w:r>
          </w:p>
        </w:tc>
        <w:tc>
          <w:tcPr>
            <w:tcW w:w="992" w:type="dxa"/>
          </w:tcPr>
          <w:p w:rsidR="0007384B" w:rsidRDefault="0007384B" w:rsidP="00B36CA2">
            <w:pPr>
              <w:jc w:val="right"/>
            </w:pPr>
            <w:r>
              <w:t>1.425,00</w:t>
            </w:r>
          </w:p>
        </w:tc>
        <w:tc>
          <w:tcPr>
            <w:tcW w:w="1134" w:type="dxa"/>
          </w:tcPr>
          <w:p w:rsidR="0007384B" w:rsidRDefault="0007384B" w:rsidP="00B36CA2">
            <w:pPr>
              <w:jc w:val="right"/>
            </w:pPr>
            <w:r>
              <w:t>1.425,00</w:t>
            </w:r>
          </w:p>
        </w:tc>
        <w:tc>
          <w:tcPr>
            <w:tcW w:w="1629" w:type="dxa"/>
          </w:tcPr>
          <w:p w:rsidR="0007384B" w:rsidRDefault="0007384B" w:rsidP="00B36CA2">
            <w:pPr>
              <w:jc w:val="right"/>
            </w:pPr>
            <w:r>
              <w:t>34,77</w:t>
            </w:r>
          </w:p>
        </w:tc>
      </w:tr>
      <w:tr w:rsidR="0007384B" w:rsidTr="00B36CA2">
        <w:tc>
          <w:tcPr>
            <w:tcW w:w="916" w:type="dxa"/>
          </w:tcPr>
          <w:p w:rsidR="0007384B" w:rsidRDefault="0007384B" w:rsidP="00B36CA2">
            <w:r>
              <w:t>Februari</w:t>
            </w:r>
          </w:p>
        </w:tc>
        <w:tc>
          <w:tcPr>
            <w:tcW w:w="1134" w:type="dxa"/>
          </w:tcPr>
          <w:p w:rsidR="0007384B" w:rsidRDefault="0007384B" w:rsidP="00B36CA2">
            <w:pPr>
              <w:jc w:val="right"/>
            </w:pPr>
            <w:r>
              <w:t>1.475,00</w:t>
            </w:r>
          </w:p>
        </w:tc>
        <w:tc>
          <w:tcPr>
            <w:tcW w:w="1701" w:type="dxa"/>
          </w:tcPr>
          <w:p w:rsidR="0007384B" w:rsidRDefault="0007384B" w:rsidP="00B36CA2">
            <w:pPr>
              <w:jc w:val="right"/>
            </w:pPr>
            <w:r>
              <w:t>2.900,00</w:t>
            </w:r>
          </w:p>
        </w:tc>
        <w:tc>
          <w:tcPr>
            <w:tcW w:w="1276" w:type="dxa"/>
          </w:tcPr>
          <w:p w:rsidR="0007384B" w:rsidRDefault="0007384B" w:rsidP="00B36CA2">
            <w:pPr>
              <w:jc w:val="right"/>
            </w:pPr>
            <w:r>
              <w:t>8.793,82</w:t>
            </w:r>
          </w:p>
        </w:tc>
        <w:tc>
          <w:tcPr>
            <w:tcW w:w="992" w:type="dxa"/>
          </w:tcPr>
          <w:p w:rsidR="0007384B" w:rsidRDefault="0007384B" w:rsidP="00B36CA2">
            <w:pPr>
              <w:jc w:val="right"/>
            </w:pPr>
            <w:r>
              <w:t>2.900,00</w:t>
            </w:r>
          </w:p>
        </w:tc>
        <w:tc>
          <w:tcPr>
            <w:tcW w:w="1134" w:type="dxa"/>
          </w:tcPr>
          <w:p w:rsidR="0007384B" w:rsidRDefault="0007384B" w:rsidP="00B36CA2">
            <w:pPr>
              <w:jc w:val="right"/>
            </w:pPr>
            <w:r>
              <w:t>1.475,00</w:t>
            </w:r>
          </w:p>
        </w:tc>
        <w:tc>
          <w:tcPr>
            <w:tcW w:w="1629" w:type="dxa"/>
          </w:tcPr>
          <w:p w:rsidR="0007384B" w:rsidRDefault="0007384B" w:rsidP="00B36CA2">
            <w:pPr>
              <w:jc w:val="right"/>
            </w:pPr>
            <w:r>
              <w:t>35,99</w:t>
            </w:r>
          </w:p>
        </w:tc>
      </w:tr>
      <w:tr w:rsidR="0007384B" w:rsidTr="00B36CA2">
        <w:tc>
          <w:tcPr>
            <w:tcW w:w="916" w:type="dxa"/>
          </w:tcPr>
          <w:p w:rsidR="0007384B" w:rsidRDefault="0007384B" w:rsidP="00B36CA2">
            <w:r>
              <w:t>Maart</w:t>
            </w:r>
          </w:p>
        </w:tc>
        <w:tc>
          <w:tcPr>
            <w:tcW w:w="1134" w:type="dxa"/>
          </w:tcPr>
          <w:p w:rsidR="0007384B" w:rsidRDefault="0007384B" w:rsidP="00B36CA2">
            <w:pPr>
              <w:jc w:val="right"/>
            </w:pPr>
            <w:r>
              <w:t>1.525,00</w:t>
            </w:r>
          </w:p>
        </w:tc>
        <w:tc>
          <w:tcPr>
            <w:tcW w:w="1701" w:type="dxa"/>
          </w:tcPr>
          <w:p w:rsidR="0007384B" w:rsidRDefault="0007384B" w:rsidP="00B36CA2">
            <w:pPr>
              <w:jc w:val="right"/>
            </w:pPr>
            <w:r>
              <w:t>4.425,00</w:t>
            </w:r>
          </w:p>
        </w:tc>
        <w:tc>
          <w:tcPr>
            <w:tcW w:w="1276" w:type="dxa"/>
          </w:tcPr>
          <w:p w:rsidR="0007384B" w:rsidRDefault="0007384B" w:rsidP="00B36CA2">
            <w:pPr>
              <w:jc w:val="right"/>
            </w:pPr>
            <w:r>
              <w:t>13.190,73</w:t>
            </w:r>
          </w:p>
        </w:tc>
        <w:tc>
          <w:tcPr>
            <w:tcW w:w="992" w:type="dxa"/>
          </w:tcPr>
          <w:p w:rsidR="0007384B" w:rsidRDefault="0007384B" w:rsidP="00B36CA2">
            <w:pPr>
              <w:jc w:val="right"/>
            </w:pPr>
            <w:r>
              <w:t>4.425,00</w:t>
            </w:r>
          </w:p>
        </w:tc>
        <w:tc>
          <w:tcPr>
            <w:tcW w:w="1134" w:type="dxa"/>
          </w:tcPr>
          <w:p w:rsidR="0007384B" w:rsidRDefault="0007384B" w:rsidP="00B36CA2">
            <w:pPr>
              <w:jc w:val="right"/>
            </w:pPr>
            <w:r>
              <w:t>1.525,00</w:t>
            </w:r>
          </w:p>
        </w:tc>
        <w:tc>
          <w:tcPr>
            <w:tcW w:w="1629" w:type="dxa"/>
          </w:tcPr>
          <w:p w:rsidR="0007384B" w:rsidRDefault="0007384B" w:rsidP="00B36CA2">
            <w:pPr>
              <w:jc w:val="right"/>
            </w:pPr>
            <w:r>
              <w:t>37,21</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Steenbergen. Berekening werkgeversheffing Zvw (in euro’s)</w:t>
      </w:r>
    </w:p>
    <w:p w:rsidR="0007384B" w:rsidRDefault="0007384B" w:rsidP="0007384B">
      <w:pPr>
        <w:pStyle w:val="Tekstzonderopmaak"/>
        <w:ind w:left="708" w:hanging="708"/>
        <w:rPr>
          <w:rFonts w:ascii="Times New Roman" w:hAnsi="Times New Roman"/>
          <w:sz w:val="22"/>
          <w:szCs w:val="22"/>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1134"/>
        <w:gridCol w:w="1276"/>
        <w:gridCol w:w="1417"/>
        <w:gridCol w:w="1276"/>
        <w:gridCol w:w="1134"/>
        <w:gridCol w:w="1629"/>
      </w:tblGrid>
      <w:tr w:rsidR="0007384B" w:rsidTr="00B36CA2">
        <w:tc>
          <w:tcPr>
            <w:tcW w:w="916" w:type="dxa"/>
          </w:tcPr>
          <w:p w:rsidR="0007384B" w:rsidRDefault="0007384B" w:rsidP="00B36CA2">
            <w:pPr>
              <w:rPr>
                <w:b/>
              </w:rPr>
            </w:pPr>
            <w:r>
              <w:rPr>
                <w:b/>
              </w:rPr>
              <w:t>Maand</w:t>
            </w:r>
          </w:p>
        </w:tc>
        <w:tc>
          <w:tcPr>
            <w:tcW w:w="1134" w:type="dxa"/>
          </w:tcPr>
          <w:p w:rsidR="0007384B" w:rsidRDefault="0007384B" w:rsidP="00B36CA2">
            <w:pPr>
              <w:rPr>
                <w:b/>
              </w:rPr>
            </w:pPr>
            <w:r>
              <w:rPr>
                <w:b/>
              </w:rPr>
              <w:t>Loon voor de Zvw</w:t>
            </w:r>
          </w:p>
        </w:tc>
        <w:tc>
          <w:tcPr>
            <w:tcW w:w="1276" w:type="dxa"/>
          </w:tcPr>
          <w:p w:rsidR="0007384B" w:rsidRDefault="0007384B" w:rsidP="00B36CA2">
            <w:pPr>
              <w:rPr>
                <w:b/>
              </w:rPr>
            </w:pPr>
            <w:r>
              <w:rPr>
                <w:b/>
              </w:rPr>
              <w:t>Cumulatief loon voor de Zvw</w:t>
            </w:r>
          </w:p>
        </w:tc>
        <w:tc>
          <w:tcPr>
            <w:tcW w:w="1417" w:type="dxa"/>
          </w:tcPr>
          <w:p w:rsidR="0007384B" w:rsidRDefault="0007384B" w:rsidP="00B36CA2">
            <w:pPr>
              <w:rPr>
                <w:b/>
              </w:rPr>
            </w:pPr>
            <w:r>
              <w:rPr>
                <w:b/>
              </w:rPr>
              <w:t>Cumulatief maximum bijdrageloon</w:t>
            </w:r>
          </w:p>
        </w:tc>
        <w:tc>
          <w:tcPr>
            <w:tcW w:w="1276" w:type="dxa"/>
          </w:tcPr>
          <w:p w:rsidR="0007384B" w:rsidRDefault="0007384B" w:rsidP="00B36CA2">
            <w:pPr>
              <w:rPr>
                <w:b/>
              </w:rPr>
            </w:pPr>
            <w:r>
              <w:rPr>
                <w:b/>
              </w:rPr>
              <w:t>Cumulatief Zvw-loon</w:t>
            </w:r>
          </w:p>
        </w:tc>
        <w:tc>
          <w:tcPr>
            <w:tcW w:w="1134" w:type="dxa"/>
          </w:tcPr>
          <w:p w:rsidR="0007384B" w:rsidRDefault="0007384B" w:rsidP="00B36CA2">
            <w:pPr>
              <w:rPr>
                <w:b/>
              </w:rPr>
            </w:pPr>
            <w:r>
              <w:rPr>
                <w:b/>
              </w:rPr>
              <w:t>Aanwas per loon-tijdvak</w:t>
            </w:r>
          </w:p>
        </w:tc>
        <w:tc>
          <w:tcPr>
            <w:tcW w:w="1629" w:type="dxa"/>
          </w:tcPr>
          <w:p w:rsidR="0007384B" w:rsidRDefault="0007384B" w:rsidP="00B36CA2">
            <w:pPr>
              <w:rPr>
                <w:b/>
              </w:rPr>
            </w:pPr>
            <w:r>
              <w:rPr>
                <w:b/>
              </w:rPr>
              <w:t>Werkgevers- heffing Zvw per maand (6,75%)</w:t>
            </w:r>
          </w:p>
        </w:tc>
      </w:tr>
      <w:tr w:rsidR="0007384B" w:rsidTr="00B36CA2">
        <w:tc>
          <w:tcPr>
            <w:tcW w:w="916" w:type="dxa"/>
          </w:tcPr>
          <w:p w:rsidR="0007384B" w:rsidRDefault="0007384B" w:rsidP="00B36CA2">
            <w:r>
              <w:t>Januari</w:t>
            </w:r>
          </w:p>
        </w:tc>
        <w:tc>
          <w:tcPr>
            <w:tcW w:w="1134" w:type="dxa"/>
          </w:tcPr>
          <w:p w:rsidR="0007384B" w:rsidRDefault="0007384B" w:rsidP="00B36CA2">
            <w:pPr>
              <w:jc w:val="right"/>
            </w:pPr>
            <w:r>
              <w:t>4.300,00</w:t>
            </w:r>
          </w:p>
        </w:tc>
        <w:tc>
          <w:tcPr>
            <w:tcW w:w="1276" w:type="dxa"/>
          </w:tcPr>
          <w:p w:rsidR="0007384B" w:rsidRDefault="0007384B" w:rsidP="00B36CA2">
            <w:pPr>
              <w:jc w:val="right"/>
            </w:pPr>
            <w:r>
              <w:t>4.300,00</w:t>
            </w:r>
          </w:p>
        </w:tc>
        <w:tc>
          <w:tcPr>
            <w:tcW w:w="1417" w:type="dxa"/>
          </w:tcPr>
          <w:p w:rsidR="0007384B" w:rsidRDefault="0007384B" w:rsidP="00B36CA2">
            <w:pPr>
              <w:jc w:val="right"/>
            </w:pPr>
            <w:r>
              <w:t>4.396,91</w:t>
            </w:r>
          </w:p>
        </w:tc>
        <w:tc>
          <w:tcPr>
            <w:tcW w:w="1276" w:type="dxa"/>
          </w:tcPr>
          <w:p w:rsidR="0007384B" w:rsidRDefault="0007384B" w:rsidP="00B36CA2">
            <w:pPr>
              <w:jc w:val="right"/>
            </w:pPr>
            <w:r>
              <w:t>4.300,00</w:t>
            </w:r>
          </w:p>
        </w:tc>
        <w:tc>
          <w:tcPr>
            <w:tcW w:w="1134" w:type="dxa"/>
          </w:tcPr>
          <w:p w:rsidR="0007384B" w:rsidRDefault="0007384B" w:rsidP="00B36CA2">
            <w:pPr>
              <w:jc w:val="right"/>
            </w:pPr>
            <w:r>
              <w:t>4.300,00</w:t>
            </w:r>
          </w:p>
        </w:tc>
        <w:tc>
          <w:tcPr>
            <w:tcW w:w="1629" w:type="dxa"/>
          </w:tcPr>
          <w:p w:rsidR="0007384B" w:rsidRDefault="0007384B" w:rsidP="00B36CA2">
            <w:pPr>
              <w:jc w:val="right"/>
            </w:pPr>
            <w:r>
              <w:t>290,25</w:t>
            </w:r>
          </w:p>
        </w:tc>
      </w:tr>
      <w:tr w:rsidR="0007384B" w:rsidTr="00B36CA2">
        <w:tc>
          <w:tcPr>
            <w:tcW w:w="916" w:type="dxa"/>
          </w:tcPr>
          <w:p w:rsidR="0007384B" w:rsidRDefault="0007384B" w:rsidP="00B36CA2">
            <w:r>
              <w:t>Februari</w:t>
            </w:r>
          </w:p>
        </w:tc>
        <w:tc>
          <w:tcPr>
            <w:tcW w:w="1134" w:type="dxa"/>
          </w:tcPr>
          <w:p w:rsidR="0007384B" w:rsidRDefault="0007384B" w:rsidP="00B36CA2">
            <w:pPr>
              <w:jc w:val="right"/>
            </w:pPr>
            <w:r>
              <w:t>4.500,00</w:t>
            </w:r>
          </w:p>
        </w:tc>
        <w:tc>
          <w:tcPr>
            <w:tcW w:w="1276" w:type="dxa"/>
          </w:tcPr>
          <w:p w:rsidR="0007384B" w:rsidRDefault="0007384B" w:rsidP="00B36CA2">
            <w:pPr>
              <w:jc w:val="right"/>
            </w:pPr>
            <w:r>
              <w:t>8.800,00</w:t>
            </w:r>
          </w:p>
        </w:tc>
        <w:tc>
          <w:tcPr>
            <w:tcW w:w="1417" w:type="dxa"/>
          </w:tcPr>
          <w:p w:rsidR="0007384B" w:rsidRDefault="0007384B" w:rsidP="00B36CA2">
            <w:pPr>
              <w:jc w:val="right"/>
            </w:pPr>
            <w:r>
              <w:t>8.793,82</w:t>
            </w:r>
          </w:p>
        </w:tc>
        <w:tc>
          <w:tcPr>
            <w:tcW w:w="1276" w:type="dxa"/>
          </w:tcPr>
          <w:p w:rsidR="0007384B" w:rsidRDefault="0007384B" w:rsidP="00B36CA2">
            <w:pPr>
              <w:jc w:val="right"/>
            </w:pPr>
            <w:r>
              <w:t>8.793,82</w:t>
            </w:r>
          </w:p>
        </w:tc>
        <w:tc>
          <w:tcPr>
            <w:tcW w:w="1134" w:type="dxa"/>
          </w:tcPr>
          <w:p w:rsidR="0007384B" w:rsidRDefault="0007384B" w:rsidP="00B36CA2">
            <w:pPr>
              <w:jc w:val="right"/>
            </w:pPr>
            <w:r>
              <w:t>4.493,82</w:t>
            </w:r>
          </w:p>
        </w:tc>
        <w:tc>
          <w:tcPr>
            <w:tcW w:w="1629" w:type="dxa"/>
          </w:tcPr>
          <w:p w:rsidR="0007384B" w:rsidRDefault="0007384B" w:rsidP="00B36CA2">
            <w:pPr>
              <w:jc w:val="right"/>
            </w:pPr>
            <w:r>
              <w:t>303,33</w:t>
            </w:r>
          </w:p>
        </w:tc>
      </w:tr>
      <w:tr w:rsidR="0007384B" w:rsidTr="00B36CA2">
        <w:tc>
          <w:tcPr>
            <w:tcW w:w="916" w:type="dxa"/>
          </w:tcPr>
          <w:p w:rsidR="0007384B" w:rsidRDefault="0007384B" w:rsidP="00B36CA2">
            <w:r>
              <w:t>Maart</w:t>
            </w:r>
          </w:p>
        </w:tc>
        <w:tc>
          <w:tcPr>
            <w:tcW w:w="1134" w:type="dxa"/>
          </w:tcPr>
          <w:p w:rsidR="0007384B" w:rsidRDefault="0007384B" w:rsidP="00B36CA2">
            <w:pPr>
              <w:jc w:val="right"/>
            </w:pPr>
            <w:r>
              <w:t>4.700,00</w:t>
            </w:r>
          </w:p>
        </w:tc>
        <w:tc>
          <w:tcPr>
            <w:tcW w:w="1276" w:type="dxa"/>
          </w:tcPr>
          <w:p w:rsidR="0007384B" w:rsidRDefault="0007384B" w:rsidP="00B36CA2">
            <w:pPr>
              <w:jc w:val="right"/>
            </w:pPr>
            <w:r>
              <w:t>13.500,00</w:t>
            </w:r>
          </w:p>
        </w:tc>
        <w:tc>
          <w:tcPr>
            <w:tcW w:w="1417" w:type="dxa"/>
          </w:tcPr>
          <w:p w:rsidR="0007384B" w:rsidRDefault="0007384B" w:rsidP="00B36CA2">
            <w:pPr>
              <w:jc w:val="right"/>
            </w:pPr>
            <w:r>
              <w:t>13.190,73</w:t>
            </w:r>
          </w:p>
        </w:tc>
        <w:tc>
          <w:tcPr>
            <w:tcW w:w="1276" w:type="dxa"/>
          </w:tcPr>
          <w:p w:rsidR="0007384B" w:rsidRDefault="0007384B" w:rsidP="00B36CA2">
            <w:pPr>
              <w:jc w:val="right"/>
            </w:pPr>
            <w:r>
              <w:t>13.190,73</w:t>
            </w:r>
          </w:p>
        </w:tc>
        <w:tc>
          <w:tcPr>
            <w:tcW w:w="1134" w:type="dxa"/>
          </w:tcPr>
          <w:p w:rsidR="0007384B" w:rsidRDefault="0007384B" w:rsidP="00B36CA2">
            <w:pPr>
              <w:jc w:val="right"/>
            </w:pPr>
            <w:r>
              <w:t>4.396,91</w:t>
            </w:r>
          </w:p>
        </w:tc>
        <w:tc>
          <w:tcPr>
            <w:tcW w:w="1629" w:type="dxa"/>
          </w:tcPr>
          <w:p w:rsidR="0007384B" w:rsidRDefault="0007384B" w:rsidP="00B36CA2">
            <w:pPr>
              <w:jc w:val="right"/>
            </w:pPr>
            <w:r>
              <w:t>296,79</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Zvw-loon (kolom 12 van de loonstaat) bedraagt € 4.700,00. Door de invoering van het uniform loonbegrip is kolom 14 (loon voor de loonbelasting / premie volksverzekeringen) daaraan gelijk. In de witte maandtabel vinden we een bedrag aan loonheffing van € 1.606,33.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het tabelloon van € 4.700,00 wordt in mindering gebracht de loonheffing (€ 1.603,33 in kolom 15). Het uitbetaald loon (kolom 17) bedraagt hierdoor € 3.096,67.</w:t>
      </w:r>
    </w:p>
    <w:p w:rsidR="0007384B" w:rsidRDefault="0007384B" w:rsidP="0007384B">
      <w:pPr>
        <w:pStyle w:val="Tekstzonderopmaak"/>
        <w:rPr>
          <w:rFonts w:ascii="Times New Roman" w:hAnsi="Times New Roman"/>
          <w:sz w:val="22"/>
          <w:szCs w:val="22"/>
        </w:rPr>
      </w:pPr>
    </w:p>
    <w:p w:rsidR="0007384B" w:rsidRDefault="0007384B" w:rsidP="0007384B">
      <w:pPr>
        <w:pStyle w:val="Tekstzonderopmaak"/>
        <w:rPr>
          <w:rFonts w:ascii="Times New Roman" w:hAnsi="Times New Roman"/>
          <w:sz w:val="22"/>
          <w:szCs w:val="22"/>
        </w:rPr>
      </w:pPr>
      <w:r>
        <w:rPr>
          <w:rFonts w:ascii="Times New Roman" w:hAnsi="Times New Roman"/>
          <w:sz w:val="22"/>
          <w:szCs w:val="22"/>
        </w:rPr>
        <w:t>NB. We beschikken niet over alle gegevens. Als in het loon voor de Zvw (kolom 12) bijvoorbeeld loon in natura is opgenomen, wordt dat uiteraard niet in euro’s uitbetaald. Voorts is het mogelijk dat op een deel van het loon de bijzondere tabel van toepassing is in plaats van de witte maandtabel.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1800"/>
        <w:gridCol w:w="1798"/>
      </w:tblGrid>
      <w:tr w:rsidR="0007384B" w:rsidTr="00B36CA2">
        <w:tc>
          <w:tcPr>
            <w:tcW w:w="1763" w:type="dxa"/>
          </w:tcPr>
          <w:p w:rsidR="0007384B" w:rsidRDefault="0007384B" w:rsidP="00B36CA2">
            <w:pPr>
              <w:rPr>
                <w:szCs w:val="22"/>
              </w:rPr>
            </w:pPr>
          </w:p>
        </w:tc>
        <w:tc>
          <w:tcPr>
            <w:tcW w:w="1800" w:type="dxa"/>
          </w:tcPr>
          <w:p w:rsidR="0007384B" w:rsidRDefault="0007384B" w:rsidP="00B36CA2">
            <w:pPr>
              <w:rPr>
                <w:b/>
                <w:szCs w:val="22"/>
              </w:rPr>
            </w:pPr>
            <w:r>
              <w:rPr>
                <w:b/>
                <w:szCs w:val="22"/>
              </w:rPr>
              <w:t>Loon loonheffing</w:t>
            </w:r>
          </w:p>
        </w:tc>
        <w:tc>
          <w:tcPr>
            <w:tcW w:w="1798" w:type="dxa"/>
          </w:tcPr>
          <w:p w:rsidR="0007384B" w:rsidRDefault="0007384B" w:rsidP="00B36CA2">
            <w:pPr>
              <w:rPr>
                <w:b/>
                <w:szCs w:val="22"/>
              </w:rPr>
            </w:pPr>
            <w:r>
              <w:rPr>
                <w:b/>
                <w:szCs w:val="22"/>
              </w:rPr>
              <w:t>Uitbetaald loon</w:t>
            </w:r>
          </w:p>
        </w:tc>
      </w:tr>
      <w:tr w:rsidR="0007384B" w:rsidTr="00B36CA2">
        <w:tc>
          <w:tcPr>
            <w:tcW w:w="1763" w:type="dxa"/>
          </w:tcPr>
          <w:p w:rsidR="0007384B" w:rsidRDefault="0007384B" w:rsidP="00B36CA2">
            <w:pPr>
              <w:rPr>
                <w:szCs w:val="22"/>
              </w:rPr>
            </w:pPr>
            <w:r>
              <w:rPr>
                <w:szCs w:val="22"/>
              </w:rPr>
              <w:t>Maandloon</w:t>
            </w:r>
          </w:p>
        </w:tc>
        <w:tc>
          <w:tcPr>
            <w:tcW w:w="1800" w:type="dxa"/>
          </w:tcPr>
          <w:p w:rsidR="0007384B" w:rsidRDefault="0007384B" w:rsidP="00B36CA2">
            <w:pPr>
              <w:rPr>
                <w:szCs w:val="22"/>
              </w:rPr>
            </w:pPr>
            <w:r>
              <w:rPr>
                <w:szCs w:val="22"/>
              </w:rPr>
              <w:t xml:space="preserve">           + 2.200,00 </w:t>
            </w:r>
          </w:p>
        </w:tc>
        <w:tc>
          <w:tcPr>
            <w:tcW w:w="1798" w:type="dxa"/>
          </w:tcPr>
          <w:p w:rsidR="0007384B" w:rsidRDefault="0007384B" w:rsidP="00B36CA2">
            <w:pPr>
              <w:rPr>
                <w:szCs w:val="22"/>
              </w:rPr>
            </w:pPr>
            <w:r>
              <w:rPr>
                <w:szCs w:val="22"/>
              </w:rPr>
              <w:t xml:space="preserve">           + 2.200,00 </w:t>
            </w:r>
          </w:p>
        </w:tc>
      </w:tr>
      <w:tr w:rsidR="0007384B" w:rsidTr="00B36CA2">
        <w:tc>
          <w:tcPr>
            <w:tcW w:w="1763" w:type="dxa"/>
          </w:tcPr>
          <w:p w:rsidR="0007384B" w:rsidRDefault="0007384B" w:rsidP="00B36CA2">
            <w:pPr>
              <w:rPr>
                <w:szCs w:val="22"/>
              </w:rPr>
            </w:pPr>
            <w:r>
              <w:rPr>
                <w:szCs w:val="22"/>
              </w:rPr>
              <w:t>Maaltijden</w:t>
            </w:r>
          </w:p>
        </w:tc>
        <w:tc>
          <w:tcPr>
            <w:tcW w:w="1800" w:type="dxa"/>
          </w:tcPr>
          <w:p w:rsidR="0007384B" w:rsidRDefault="0007384B" w:rsidP="00B36CA2">
            <w:pPr>
              <w:rPr>
                <w:szCs w:val="22"/>
              </w:rPr>
            </w:pPr>
            <w:r>
              <w:rPr>
                <w:szCs w:val="22"/>
              </w:rPr>
              <w:t xml:space="preserve">                + 45,50</w:t>
            </w:r>
          </w:p>
        </w:tc>
        <w:tc>
          <w:tcPr>
            <w:tcW w:w="1798" w:type="dxa"/>
          </w:tcPr>
          <w:p w:rsidR="0007384B" w:rsidRDefault="0007384B" w:rsidP="00B36CA2">
            <w:pPr>
              <w:rPr>
                <w:szCs w:val="22"/>
              </w:rPr>
            </w:pPr>
          </w:p>
        </w:tc>
      </w:tr>
      <w:tr w:rsidR="0007384B" w:rsidTr="00B36CA2">
        <w:tc>
          <w:tcPr>
            <w:tcW w:w="1763" w:type="dxa"/>
          </w:tcPr>
          <w:p w:rsidR="0007384B" w:rsidRDefault="0007384B" w:rsidP="00B36CA2">
            <w:pPr>
              <w:rPr>
                <w:szCs w:val="22"/>
              </w:rPr>
            </w:pPr>
            <w:r>
              <w:rPr>
                <w:szCs w:val="22"/>
              </w:rPr>
              <w:t>Bijdrage pensioenfonds</w:t>
            </w:r>
          </w:p>
        </w:tc>
        <w:tc>
          <w:tcPr>
            <w:tcW w:w="1800" w:type="dxa"/>
          </w:tcPr>
          <w:p w:rsidR="0007384B" w:rsidRDefault="0007384B" w:rsidP="00B36CA2">
            <w:pPr>
              <w:rPr>
                <w:szCs w:val="22"/>
              </w:rPr>
            </w:pPr>
            <w:r>
              <w:rPr>
                <w:szCs w:val="22"/>
              </w:rPr>
              <w:t xml:space="preserve">               - 150,00</w:t>
            </w:r>
          </w:p>
        </w:tc>
        <w:tc>
          <w:tcPr>
            <w:tcW w:w="1798" w:type="dxa"/>
          </w:tcPr>
          <w:p w:rsidR="0007384B" w:rsidRDefault="0007384B" w:rsidP="00B36CA2">
            <w:pPr>
              <w:rPr>
                <w:szCs w:val="22"/>
              </w:rPr>
            </w:pPr>
            <w:r>
              <w:rPr>
                <w:szCs w:val="22"/>
              </w:rPr>
              <w:t xml:space="preserve">               - 150,00</w:t>
            </w:r>
          </w:p>
        </w:tc>
      </w:tr>
      <w:tr w:rsidR="0007384B" w:rsidTr="00B36CA2">
        <w:tc>
          <w:tcPr>
            <w:tcW w:w="1763" w:type="dxa"/>
          </w:tcPr>
          <w:p w:rsidR="0007384B" w:rsidRDefault="0007384B" w:rsidP="00B36CA2">
            <w:pPr>
              <w:rPr>
                <w:szCs w:val="22"/>
              </w:rPr>
            </w:pPr>
            <w:r>
              <w:rPr>
                <w:szCs w:val="22"/>
              </w:rPr>
              <w:t>Bijdrage levensloop</w:t>
            </w:r>
          </w:p>
        </w:tc>
        <w:tc>
          <w:tcPr>
            <w:tcW w:w="1800" w:type="dxa"/>
          </w:tcPr>
          <w:p w:rsidR="0007384B" w:rsidRDefault="0007384B" w:rsidP="00B36CA2">
            <w:pPr>
              <w:rPr>
                <w:szCs w:val="22"/>
              </w:rPr>
            </w:pPr>
            <w:r>
              <w:rPr>
                <w:szCs w:val="22"/>
              </w:rPr>
              <w:t xml:space="preserve">                + 30,00</w:t>
            </w:r>
          </w:p>
        </w:tc>
        <w:tc>
          <w:tcPr>
            <w:tcW w:w="1798" w:type="dxa"/>
          </w:tcPr>
          <w:p w:rsidR="0007384B" w:rsidRDefault="0007384B" w:rsidP="00B36CA2">
            <w:pPr>
              <w:rPr>
                <w:szCs w:val="22"/>
              </w:rPr>
            </w:pPr>
            <w:r>
              <w:rPr>
                <w:szCs w:val="22"/>
              </w:rPr>
              <w:t xml:space="preserve">                + 30,00</w:t>
            </w:r>
          </w:p>
        </w:tc>
      </w:tr>
      <w:tr w:rsidR="0007384B" w:rsidTr="00B36CA2">
        <w:tc>
          <w:tcPr>
            <w:tcW w:w="1763" w:type="dxa"/>
          </w:tcPr>
          <w:p w:rsidR="0007384B" w:rsidRDefault="0007384B" w:rsidP="00B36CA2">
            <w:pPr>
              <w:rPr>
                <w:szCs w:val="22"/>
              </w:rPr>
            </w:pPr>
            <w:r>
              <w:rPr>
                <w:szCs w:val="22"/>
              </w:rPr>
              <w:t>Loonheffing</w:t>
            </w:r>
          </w:p>
        </w:tc>
        <w:tc>
          <w:tcPr>
            <w:tcW w:w="1800" w:type="dxa"/>
          </w:tcPr>
          <w:p w:rsidR="0007384B" w:rsidRDefault="0007384B" w:rsidP="00B36CA2">
            <w:pPr>
              <w:rPr>
                <w:szCs w:val="22"/>
              </w:rPr>
            </w:pPr>
          </w:p>
        </w:tc>
        <w:tc>
          <w:tcPr>
            <w:tcW w:w="1798" w:type="dxa"/>
          </w:tcPr>
          <w:p w:rsidR="0007384B" w:rsidRDefault="0007384B" w:rsidP="00B36CA2">
            <w:pPr>
              <w:rPr>
                <w:szCs w:val="22"/>
              </w:rPr>
            </w:pPr>
            <w:r>
              <w:rPr>
                <w:szCs w:val="22"/>
              </w:rPr>
              <w:t xml:space="preserve">               - 370,08</w:t>
            </w:r>
          </w:p>
        </w:tc>
      </w:tr>
      <w:tr w:rsidR="0007384B" w:rsidTr="00B36CA2">
        <w:tc>
          <w:tcPr>
            <w:tcW w:w="1763" w:type="dxa"/>
          </w:tcPr>
          <w:p w:rsidR="0007384B" w:rsidRDefault="0007384B" w:rsidP="00B36CA2">
            <w:pPr>
              <w:rPr>
                <w:szCs w:val="22"/>
              </w:rPr>
            </w:pPr>
            <w:r>
              <w:rPr>
                <w:szCs w:val="22"/>
              </w:rPr>
              <w:t>WGA-premie</w:t>
            </w:r>
          </w:p>
        </w:tc>
        <w:tc>
          <w:tcPr>
            <w:tcW w:w="1800" w:type="dxa"/>
          </w:tcPr>
          <w:p w:rsidR="0007384B" w:rsidRDefault="0007384B" w:rsidP="00B36CA2">
            <w:pPr>
              <w:rPr>
                <w:szCs w:val="22"/>
              </w:rPr>
            </w:pPr>
          </w:p>
        </w:tc>
        <w:tc>
          <w:tcPr>
            <w:tcW w:w="1798" w:type="dxa"/>
          </w:tcPr>
          <w:p w:rsidR="0007384B" w:rsidRDefault="0007384B" w:rsidP="00B36CA2">
            <w:pPr>
              <w:rPr>
                <w:szCs w:val="22"/>
              </w:rPr>
            </w:pPr>
            <w:r>
              <w:rPr>
                <w:szCs w:val="22"/>
              </w:rPr>
              <w:t xml:space="preserve">                 - 12,00</w:t>
            </w:r>
          </w:p>
        </w:tc>
      </w:tr>
      <w:tr w:rsidR="0007384B" w:rsidTr="00B36CA2">
        <w:tc>
          <w:tcPr>
            <w:tcW w:w="1763" w:type="dxa"/>
          </w:tcPr>
          <w:p w:rsidR="0007384B" w:rsidRDefault="0007384B" w:rsidP="00B36CA2">
            <w:pPr>
              <w:rPr>
                <w:szCs w:val="22"/>
              </w:rPr>
            </w:pPr>
          </w:p>
        </w:tc>
        <w:tc>
          <w:tcPr>
            <w:tcW w:w="1800" w:type="dxa"/>
          </w:tcPr>
          <w:p w:rsidR="0007384B" w:rsidRDefault="0007384B" w:rsidP="00B36CA2">
            <w:pPr>
              <w:rPr>
                <w:szCs w:val="22"/>
              </w:rPr>
            </w:pPr>
          </w:p>
        </w:tc>
        <w:tc>
          <w:tcPr>
            <w:tcW w:w="1798" w:type="dxa"/>
          </w:tcPr>
          <w:p w:rsidR="0007384B" w:rsidRDefault="0007384B" w:rsidP="00B36CA2">
            <w:pPr>
              <w:rPr>
                <w:szCs w:val="22"/>
              </w:rPr>
            </w:pPr>
          </w:p>
        </w:tc>
      </w:tr>
      <w:tr w:rsidR="0007384B" w:rsidTr="00B36CA2">
        <w:tc>
          <w:tcPr>
            <w:tcW w:w="1763" w:type="dxa"/>
          </w:tcPr>
          <w:p w:rsidR="0007384B" w:rsidRDefault="0007384B" w:rsidP="00B36CA2">
            <w:pPr>
              <w:rPr>
                <w:szCs w:val="22"/>
              </w:rPr>
            </w:pPr>
            <w:r>
              <w:rPr>
                <w:szCs w:val="22"/>
              </w:rPr>
              <w:t>Totaal</w:t>
            </w:r>
          </w:p>
        </w:tc>
        <w:tc>
          <w:tcPr>
            <w:tcW w:w="1800" w:type="dxa"/>
          </w:tcPr>
          <w:p w:rsidR="0007384B" w:rsidRDefault="0007384B" w:rsidP="00B36CA2">
            <w:pPr>
              <w:rPr>
                <w:szCs w:val="22"/>
              </w:rPr>
            </w:pPr>
            <w:r>
              <w:rPr>
                <w:szCs w:val="22"/>
              </w:rPr>
              <w:t xml:space="preserve">              2.125,50</w:t>
            </w:r>
          </w:p>
        </w:tc>
        <w:tc>
          <w:tcPr>
            <w:tcW w:w="1798" w:type="dxa"/>
          </w:tcPr>
          <w:p w:rsidR="0007384B" w:rsidRDefault="0007384B" w:rsidP="00B36CA2">
            <w:pPr>
              <w:rPr>
                <w:szCs w:val="22"/>
              </w:rPr>
            </w:pPr>
            <w:r>
              <w:rPr>
                <w:szCs w:val="22"/>
              </w:rPr>
              <w:t xml:space="preserve">              1.697,92</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Werknemersbijdrage van 5,50%.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Werkgeversheffing van 6,75%.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c. Werknemersbijdrage van 5,50%.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d. Werkgeversheffing van 6,75%.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e. Geen Zvw-bijdrage verschuldigd (0,00%).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f. Werknemersbijdrage van 5,50%.</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
        <w:gridCol w:w="1969"/>
        <w:gridCol w:w="1086"/>
        <w:gridCol w:w="1086"/>
        <w:gridCol w:w="408"/>
        <w:gridCol w:w="1040"/>
        <w:gridCol w:w="543"/>
        <w:gridCol w:w="1086"/>
        <w:gridCol w:w="409"/>
        <w:gridCol w:w="903"/>
        <w:gridCol w:w="409"/>
      </w:tblGrid>
      <w:tr w:rsidR="0007384B" w:rsidTr="00B36CA2">
        <w:trPr>
          <w:cantSplit/>
          <w:trHeight w:val="397"/>
        </w:trPr>
        <w:tc>
          <w:tcPr>
            <w:tcW w:w="2353" w:type="dxa"/>
            <w:gridSpan w:val="2"/>
            <w:vMerge w:val="restart"/>
          </w:tcPr>
          <w:p w:rsidR="0007384B" w:rsidRDefault="0007384B" w:rsidP="00B36CA2">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rsidR="0007384B" w:rsidRDefault="0007384B" w:rsidP="00B36CA2">
            <w:pPr>
              <w:autoSpaceDE w:val="0"/>
              <w:autoSpaceDN w:val="0"/>
              <w:adjustRightInd w:val="0"/>
              <w:rPr>
                <w:sz w:val="18"/>
              </w:rPr>
            </w:pPr>
          </w:p>
        </w:tc>
        <w:tc>
          <w:tcPr>
            <w:tcW w:w="1494" w:type="dxa"/>
            <w:gridSpan w:val="2"/>
          </w:tcPr>
          <w:p w:rsidR="0007384B" w:rsidRDefault="0007384B" w:rsidP="00B36CA2">
            <w:pPr>
              <w:autoSpaceDE w:val="0"/>
              <w:autoSpaceDN w:val="0"/>
              <w:adjustRightInd w:val="0"/>
              <w:jc w:val="center"/>
              <w:rPr>
                <w:b/>
                <w:sz w:val="18"/>
              </w:rPr>
            </w:pPr>
            <w:r>
              <w:rPr>
                <w:b/>
                <w:sz w:val="18"/>
              </w:rPr>
              <w:t>A</w:t>
            </w:r>
          </w:p>
        </w:tc>
        <w:tc>
          <w:tcPr>
            <w:tcW w:w="1583" w:type="dxa"/>
            <w:gridSpan w:val="2"/>
          </w:tcPr>
          <w:p w:rsidR="0007384B" w:rsidRDefault="0007384B" w:rsidP="00B36CA2">
            <w:pPr>
              <w:autoSpaceDE w:val="0"/>
              <w:autoSpaceDN w:val="0"/>
              <w:adjustRightInd w:val="0"/>
              <w:jc w:val="center"/>
              <w:rPr>
                <w:b/>
                <w:sz w:val="18"/>
              </w:rPr>
            </w:pPr>
            <w:r>
              <w:rPr>
                <w:b/>
                <w:sz w:val="18"/>
              </w:rPr>
              <w:t>B</w:t>
            </w:r>
          </w:p>
        </w:tc>
        <w:tc>
          <w:tcPr>
            <w:tcW w:w="1495" w:type="dxa"/>
            <w:gridSpan w:val="2"/>
          </w:tcPr>
          <w:p w:rsidR="0007384B" w:rsidRDefault="0007384B" w:rsidP="00B36CA2">
            <w:pPr>
              <w:autoSpaceDE w:val="0"/>
              <w:autoSpaceDN w:val="0"/>
              <w:adjustRightInd w:val="0"/>
              <w:jc w:val="center"/>
              <w:rPr>
                <w:b/>
                <w:sz w:val="18"/>
              </w:rPr>
            </w:pPr>
            <w:r>
              <w:rPr>
                <w:b/>
                <w:sz w:val="18"/>
              </w:rPr>
              <w:t>C</w:t>
            </w:r>
          </w:p>
        </w:tc>
        <w:tc>
          <w:tcPr>
            <w:tcW w:w="1312" w:type="dxa"/>
            <w:gridSpan w:val="2"/>
          </w:tcPr>
          <w:p w:rsidR="0007384B" w:rsidRDefault="0007384B" w:rsidP="00B36CA2">
            <w:pPr>
              <w:autoSpaceDE w:val="0"/>
              <w:autoSpaceDN w:val="0"/>
              <w:adjustRightInd w:val="0"/>
              <w:jc w:val="center"/>
              <w:rPr>
                <w:sz w:val="18"/>
              </w:rPr>
            </w:pPr>
            <w:r>
              <w:rPr>
                <w:b/>
                <w:sz w:val="18"/>
              </w:rPr>
              <w:t>D</w:t>
            </w:r>
          </w:p>
        </w:tc>
      </w:tr>
      <w:tr w:rsidR="0007384B" w:rsidTr="00B36CA2">
        <w:trPr>
          <w:cantSplit/>
          <w:trHeight w:val="630"/>
        </w:trPr>
        <w:tc>
          <w:tcPr>
            <w:tcW w:w="2353" w:type="dxa"/>
            <w:gridSpan w:val="2"/>
            <w:vMerge/>
          </w:tcPr>
          <w:p w:rsidR="0007384B" w:rsidRDefault="0007384B" w:rsidP="00B36CA2">
            <w:pPr>
              <w:pStyle w:val="Koptekst"/>
              <w:tabs>
                <w:tab w:val="clear" w:pos="4536"/>
                <w:tab w:val="clear" w:pos="9072"/>
              </w:tabs>
              <w:autoSpaceDE w:val="0"/>
              <w:autoSpaceDN w:val="0"/>
              <w:adjustRightInd w:val="0"/>
              <w:rPr>
                <w:sz w:val="18"/>
              </w:rPr>
            </w:pPr>
          </w:p>
        </w:tc>
        <w:tc>
          <w:tcPr>
            <w:tcW w:w="1086" w:type="dxa"/>
            <w:vMerge/>
          </w:tcPr>
          <w:p w:rsidR="0007384B" w:rsidRDefault="0007384B" w:rsidP="00B36CA2">
            <w:pPr>
              <w:autoSpaceDE w:val="0"/>
              <w:autoSpaceDN w:val="0"/>
              <w:adjustRightInd w:val="0"/>
              <w:rPr>
                <w:sz w:val="18"/>
              </w:rPr>
            </w:pPr>
          </w:p>
        </w:tc>
        <w:tc>
          <w:tcPr>
            <w:tcW w:w="1494" w:type="dxa"/>
            <w:gridSpan w:val="2"/>
          </w:tcPr>
          <w:p w:rsidR="0007384B" w:rsidRDefault="0007384B" w:rsidP="00B36CA2">
            <w:pPr>
              <w:autoSpaceDE w:val="0"/>
              <w:autoSpaceDN w:val="0"/>
              <w:adjustRightInd w:val="0"/>
              <w:jc w:val="center"/>
              <w:rPr>
                <w:sz w:val="18"/>
              </w:rPr>
            </w:pPr>
            <w:r>
              <w:rPr>
                <w:b/>
                <w:sz w:val="18"/>
              </w:rPr>
              <w:t>Loonheffing</w:t>
            </w:r>
          </w:p>
        </w:tc>
        <w:tc>
          <w:tcPr>
            <w:tcW w:w="1583" w:type="dxa"/>
            <w:gridSpan w:val="2"/>
          </w:tcPr>
          <w:p w:rsidR="0007384B" w:rsidRDefault="0007384B" w:rsidP="00B36CA2">
            <w:pPr>
              <w:autoSpaceDE w:val="0"/>
              <w:autoSpaceDN w:val="0"/>
              <w:adjustRightInd w:val="0"/>
              <w:jc w:val="center"/>
              <w:rPr>
                <w:sz w:val="18"/>
              </w:rPr>
            </w:pPr>
            <w:r>
              <w:rPr>
                <w:b/>
                <w:sz w:val="18"/>
              </w:rPr>
              <w:t>Werknemers- verzekeringen</w:t>
            </w:r>
          </w:p>
        </w:tc>
        <w:tc>
          <w:tcPr>
            <w:tcW w:w="1495" w:type="dxa"/>
            <w:gridSpan w:val="2"/>
          </w:tcPr>
          <w:p w:rsidR="0007384B" w:rsidRDefault="0007384B" w:rsidP="00B36CA2">
            <w:pPr>
              <w:autoSpaceDE w:val="0"/>
              <w:autoSpaceDN w:val="0"/>
              <w:adjustRightInd w:val="0"/>
              <w:rPr>
                <w:sz w:val="18"/>
              </w:rPr>
            </w:pPr>
            <w:r>
              <w:rPr>
                <w:b/>
                <w:sz w:val="18"/>
              </w:rPr>
              <w:t>Zorgverzeke- ringswet</w:t>
            </w:r>
          </w:p>
        </w:tc>
        <w:tc>
          <w:tcPr>
            <w:tcW w:w="1312" w:type="dxa"/>
            <w:gridSpan w:val="2"/>
          </w:tcPr>
          <w:p w:rsidR="0007384B" w:rsidRDefault="0007384B" w:rsidP="00B36CA2">
            <w:pPr>
              <w:autoSpaceDE w:val="0"/>
              <w:autoSpaceDN w:val="0"/>
              <w:adjustRightInd w:val="0"/>
              <w:jc w:val="center"/>
              <w:rPr>
                <w:sz w:val="18"/>
              </w:rPr>
            </w:pPr>
            <w:r>
              <w:rPr>
                <w:b/>
                <w:sz w:val="18"/>
              </w:rPr>
              <w:t>Nettoloon</w:t>
            </w:r>
          </w:p>
        </w:tc>
      </w:tr>
      <w:tr w:rsidR="0007384B" w:rsidTr="00B36CA2">
        <w:trPr>
          <w:cantSplit/>
          <w:trHeight w:val="624"/>
        </w:trPr>
        <w:tc>
          <w:tcPr>
            <w:tcW w:w="2353" w:type="dxa"/>
            <w:gridSpan w:val="2"/>
          </w:tcPr>
          <w:p w:rsidR="0007384B" w:rsidRDefault="0007384B" w:rsidP="00B36CA2">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rsidR="0007384B" w:rsidRDefault="0007384B" w:rsidP="00B36CA2">
            <w:pPr>
              <w:autoSpaceDE w:val="0"/>
              <w:autoSpaceDN w:val="0"/>
              <w:adjustRightInd w:val="0"/>
              <w:jc w:val="center"/>
              <w:rPr>
                <w:b/>
                <w:sz w:val="18"/>
              </w:rPr>
            </w:pPr>
            <w:r>
              <w:rPr>
                <w:b/>
                <w:sz w:val="18"/>
              </w:rPr>
              <w:t>Opgave</w:t>
            </w:r>
          </w:p>
          <w:p w:rsidR="0007384B" w:rsidRDefault="0007384B" w:rsidP="00B36CA2">
            <w:pPr>
              <w:autoSpaceDE w:val="0"/>
              <w:autoSpaceDN w:val="0"/>
              <w:adjustRightInd w:val="0"/>
              <w:jc w:val="center"/>
              <w:rPr>
                <w:b/>
                <w:sz w:val="18"/>
              </w:rPr>
            </w:pPr>
            <w:r>
              <w:rPr>
                <w:b/>
                <w:sz w:val="18"/>
              </w:rPr>
              <w:t>€</w:t>
            </w:r>
          </w:p>
        </w:tc>
        <w:tc>
          <w:tcPr>
            <w:tcW w:w="1086" w:type="dxa"/>
          </w:tcPr>
          <w:p w:rsidR="0007384B" w:rsidRDefault="0007384B" w:rsidP="00B36CA2">
            <w:pPr>
              <w:autoSpaceDE w:val="0"/>
              <w:autoSpaceDN w:val="0"/>
              <w:adjustRightInd w:val="0"/>
              <w:jc w:val="center"/>
              <w:rPr>
                <w:b/>
                <w:sz w:val="18"/>
              </w:rPr>
            </w:pPr>
            <w:r>
              <w:rPr>
                <w:b/>
                <w:sz w:val="18"/>
              </w:rPr>
              <w:t>Loon €</w:t>
            </w:r>
          </w:p>
        </w:tc>
        <w:tc>
          <w:tcPr>
            <w:tcW w:w="408" w:type="dxa"/>
          </w:tcPr>
          <w:p w:rsidR="0007384B" w:rsidRDefault="0007384B" w:rsidP="00B36CA2">
            <w:pPr>
              <w:autoSpaceDE w:val="0"/>
              <w:autoSpaceDN w:val="0"/>
              <w:adjustRightInd w:val="0"/>
              <w:jc w:val="center"/>
              <w:rPr>
                <w:b/>
                <w:sz w:val="18"/>
              </w:rPr>
            </w:pPr>
            <w:r>
              <w:rPr>
                <w:b/>
                <w:sz w:val="18"/>
              </w:rPr>
              <w:t>Bij/</w:t>
            </w:r>
          </w:p>
          <w:p w:rsidR="0007384B" w:rsidRDefault="0007384B" w:rsidP="00B36CA2">
            <w:pPr>
              <w:autoSpaceDE w:val="0"/>
              <w:autoSpaceDN w:val="0"/>
              <w:adjustRightInd w:val="0"/>
              <w:jc w:val="center"/>
              <w:rPr>
                <w:b/>
                <w:sz w:val="18"/>
              </w:rPr>
            </w:pPr>
            <w:r>
              <w:rPr>
                <w:b/>
                <w:sz w:val="18"/>
              </w:rPr>
              <w:t>Af</w:t>
            </w:r>
          </w:p>
        </w:tc>
        <w:tc>
          <w:tcPr>
            <w:tcW w:w="1040" w:type="dxa"/>
          </w:tcPr>
          <w:p w:rsidR="0007384B" w:rsidRDefault="0007384B" w:rsidP="00B36CA2">
            <w:pPr>
              <w:autoSpaceDE w:val="0"/>
              <w:autoSpaceDN w:val="0"/>
              <w:adjustRightInd w:val="0"/>
              <w:jc w:val="center"/>
              <w:rPr>
                <w:b/>
                <w:sz w:val="18"/>
              </w:rPr>
            </w:pPr>
            <w:r>
              <w:rPr>
                <w:b/>
                <w:sz w:val="18"/>
              </w:rPr>
              <w:t xml:space="preserve">Loon </w:t>
            </w:r>
          </w:p>
          <w:p w:rsidR="0007384B" w:rsidRDefault="0007384B" w:rsidP="00B36CA2">
            <w:pPr>
              <w:autoSpaceDE w:val="0"/>
              <w:autoSpaceDN w:val="0"/>
              <w:adjustRightInd w:val="0"/>
              <w:jc w:val="center"/>
              <w:rPr>
                <w:b/>
                <w:sz w:val="18"/>
              </w:rPr>
            </w:pPr>
            <w:r>
              <w:rPr>
                <w:b/>
                <w:sz w:val="18"/>
              </w:rPr>
              <w:t>€</w:t>
            </w:r>
          </w:p>
        </w:tc>
        <w:tc>
          <w:tcPr>
            <w:tcW w:w="543" w:type="dxa"/>
          </w:tcPr>
          <w:p w:rsidR="0007384B" w:rsidRDefault="0007384B" w:rsidP="00B36CA2">
            <w:pPr>
              <w:autoSpaceDE w:val="0"/>
              <w:autoSpaceDN w:val="0"/>
              <w:adjustRightInd w:val="0"/>
              <w:jc w:val="center"/>
              <w:rPr>
                <w:b/>
                <w:sz w:val="18"/>
              </w:rPr>
            </w:pPr>
            <w:r>
              <w:rPr>
                <w:b/>
                <w:sz w:val="18"/>
              </w:rPr>
              <w:t>Bij/</w:t>
            </w:r>
          </w:p>
          <w:p w:rsidR="0007384B" w:rsidRDefault="0007384B" w:rsidP="00B36CA2">
            <w:pPr>
              <w:autoSpaceDE w:val="0"/>
              <w:autoSpaceDN w:val="0"/>
              <w:adjustRightInd w:val="0"/>
              <w:jc w:val="center"/>
              <w:rPr>
                <w:b/>
                <w:sz w:val="18"/>
              </w:rPr>
            </w:pPr>
            <w:r>
              <w:rPr>
                <w:b/>
                <w:sz w:val="18"/>
              </w:rPr>
              <w:t>Af</w:t>
            </w:r>
          </w:p>
        </w:tc>
        <w:tc>
          <w:tcPr>
            <w:tcW w:w="1086" w:type="dxa"/>
          </w:tcPr>
          <w:p w:rsidR="0007384B" w:rsidRDefault="0007384B" w:rsidP="00B36CA2">
            <w:pPr>
              <w:pStyle w:val="Kop3"/>
              <w:keepNext w:val="0"/>
              <w:autoSpaceDE w:val="0"/>
              <w:autoSpaceDN w:val="0"/>
              <w:adjustRightInd w:val="0"/>
              <w:spacing w:before="0" w:after="0"/>
              <w:jc w:val="center"/>
              <w:rPr>
                <w:sz w:val="18"/>
              </w:rPr>
            </w:pPr>
            <w:r>
              <w:rPr>
                <w:sz w:val="18"/>
              </w:rPr>
              <w:t>Loon</w:t>
            </w:r>
          </w:p>
          <w:p w:rsidR="0007384B" w:rsidRDefault="0007384B" w:rsidP="00B36CA2">
            <w:pPr>
              <w:autoSpaceDE w:val="0"/>
              <w:autoSpaceDN w:val="0"/>
              <w:adjustRightInd w:val="0"/>
              <w:jc w:val="center"/>
              <w:rPr>
                <w:b/>
                <w:sz w:val="18"/>
              </w:rPr>
            </w:pPr>
            <w:r>
              <w:rPr>
                <w:b/>
                <w:sz w:val="18"/>
              </w:rPr>
              <w:t>€</w:t>
            </w:r>
          </w:p>
        </w:tc>
        <w:tc>
          <w:tcPr>
            <w:tcW w:w="409" w:type="dxa"/>
          </w:tcPr>
          <w:p w:rsidR="0007384B" w:rsidRDefault="0007384B" w:rsidP="00B36CA2">
            <w:pPr>
              <w:autoSpaceDE w:val="0"/>
              <w:autoSpaceDN w:val="0"/>
              <w:adjustRightInd w:val="0"/>
              <w:jc w:val="center"/>
              <w:rPr>
                <w:b/>
                <w:sz w:val="18"/>
              </w:rPr>
            </w:pPr>
            <w:r>
              <w:rPr>
                <w:b/>
                <w:sz w:val="18"/>
              </w:rPr>
              <w:t>Bij/</w:t>
            </w:r>
          </w:p>
          <w:p w:rsidR="0007384B" w:rsidRDefault="0007384B" w:rsidP="00B36CA2">
            <w:pPr>
              <w:autoSpaceDE w:val="0"/>
              <w:autoSpaceDN w:val="0"/>
              <w:adjustRightInd w:val="0"/>
              <w:jc w:val="center"/>
              <w:rPr>
                <w:b/>
                <w:sz w:val="18"/>
              </w:rPr>
            </w:pPr>
            <w:r>
              <w:rPr>
                <w:b/>
                <w:sz w:val="18"/>
              </w:rPr>
              <w:t>Af</w:t>
            </w:r>
          </w:p>
        </w:tc>
        <w:tc>
          <w:tcPr>
            <w:tcW w:w="903" w:type="dxa"/>
          </w:tcPr>
          <w:p w:rsidR="0007384B" w:rsidRDefault="0007384B" w:rsidP="00B36CA2">
            <w:pPr>
              <w:pStyle w:val="Koptekst"/>
              <w:tabs>
                <w:tab w:val="clear" w:pos="4536"/>
                <w:tab w:val="clear" w:pos="9072"/>
              </w:tabs>
              <w:autoSpaceDE w:val="0"/>
              <w:autoSpaceDN w:val="0"/>
              <w:adjustRightInd w:val="0"/>
              <w:jc w:val="center"/>
              <w:rPr>
                <w:b/>
                <w:sz w:val="18"/>
              </w:rPr>
            </w:pPr>
            <w:r>
              <w:rPr>
                <w:b/>
                <w:sz w:val="18"/>
              </w:rPr>
              <w:t>Bedrag</w:t>
            </w:r>
          </w:p>
          <w:p w:rsidR="0007384B" w:rsidRDefault="0007384B" w:rsidP="00B36CA2">
            <w:pPr>
              <w:autoSpaceDE w:val="0"/>
              <w:autoSpaceDN w:val="0"/>
              <w:adjustRightInd w:val="0"/>
              <w:jc w:val="center"/>
              <w:rPr>
                <w:b/>
                <w:sz w:val="18"/>
              </w:rPr>
            </w:pPr>
            <w:r>
              <w:rPr>
                <w:b/>
                <w:sz w:val="18"/>
              </w:rPr>
              <w:t>€</w:t>
            </w:r>
          </w:p>
        </w:tc>
        <w:tc>
          <w:tcPr>
            <w:tcW w:w="409" w:type="dxa"/>
          </w:tcPr>
          <w:p w:rsidR="0007384B" w:rsidRDefault="0007384B" w:rsidP="00B36CA2">
            <w:pPr>
              <w:autoSpaceDE w:val="0"/>
              <w:autoSpaceDN w:val="0"/>
              <w:adjustRightInd w:val="0"/>
              <w:jc w:val="center"/>
              <w:rPr>
                <w:b/>
                <w:sz w:val="18"/>
              </w:rPr>
            </w:pPr>
            <w:r>
              <w:rPr>
                <w:b/>
                <w:sz w:val="18"/>
              </w:rPr>
              <w:t>Bij/</w:t>
            </w:r>
          </w:p>
          <w:p w:rsidR="0007384B" w:rsidRDefault="0007384B" w:rsidP="00B36CA2">
            <w:pPr>
              <w:autoSpaceDE w:val="0"/>
              <w:autoSpaceDN w:val="0"/>
              <w:adjustRightInd w:val="0"/>
              <w:jc w:val="center"/>
              <w:rPr>
                <w:b/>
                <w:sz w:val="18"/>
                <w:lang w:val="en-GB"/>
              </w:rPr>
            </w:pPr>
            <w:r>
              <w:rPr>
                <w:b/>
                <w:sz w:val="18"/>
              </w:rPr>
              <w:t>Af</w:t>
            </w:r>
          </w:p>
        </w:tc>
      </w:tr>
      <w:tr w:rsidR="0007384B" w:rsidTr="00B36CA2">
        <w:trPr>
          <w:cantSplit/>
          <w:trHeight w:val="369"/>
        </w:trPr>
        <w:tc>
          <w:tcPr>
            <w:tcW w:w="384" w:type="dxa"/>
            <w:vAlign w:val="center"/>
          </w:tcPr>
          <w:p w:rsidR="0007384B" w:rsidRDefault="0007384B" w:rsidP="00B36CA2">
            <w:pPr>
              <w:autoSpaceDE w:val="0"/>
              <w:autoSpaceDN w:val="0"/>
              <w:adjustRightInd w:val="0"/>
              <w:jc w:val="center"/>
              <w:rPr>
                <w:sz w:val="18"/>
                <w:lang w:val="en-GB"/>
              </w:rPr>
            </w:pPr>
            <w:r>
              <w:rPr>
                <w:sz w:val="18"/>
                <w:lang w:val="en-GB"/>
              </w:rPr>
              <w:t>a</w:t>
            </w:r>
          </w:p>
        </w:tc>
        <w:tc>
          <w:tcPr>
            <w:tcW w:w="1969" w:type="dxa"/>
            <w:vAlign w:val="center"/>
          </w:tcPr>
          <w:p w:rsidR="0007384B" w:rsidRDefault="0007384B" w:rsidP="00B36CA2">
            <w:pPr>
              <w:autoSpaceDE w:val="0"/>
              <w:autoSpaceDN w:val="0"/>
              <w:adjustRightInd w:val="0"/>
              <w:rPr>
                <w:sz w:val="18"/>
                <w:lang w:val="en-GB"/>
              </w:rPr>
            </w:pPr>
            <w:r>
              <w:rPr>
                <w:sz w:val="18"/>
                <w:lang w:val="en-GB"/>
              </w:rPr>
              <w:t>Salaris</w:t>
            </w:r>
          </w:p>
        </w:tc>
        <w:tc>
          <w:tcPr>
            <w:tcW w:w="1086" w:type="dxa"/>
            <w:vAlign w:val="center"/>
          </w:tcPr>
          <w:p w:rsidR="0007384B" w:rsidRDefault="0007384B" w:rsidP="00B36CA2">
            <w:pPr>
              <w:autoSpaceDE w:val="0"/>
              <w:autoSpaceDN w:val="0"/>
              <w:adjustRightInd w:val="0"/>
              <w:jc w:val="right"/>
              <w:rPr>
                <w:sz w:val="18"/>
              </w:rPr>
            </w:pPr>
            <w:r>
              <w:rPr>
                <w:sz w:val="18"/>
              </w:rPr>
              <w:t>3.600,00</w:t>
            </w:r>
          </w:p>
        </w:tc>
        <w:tc>
          <w:tcPr>
            <w:tcW w:w="1086" w:type="dxa"/>
            <w:vAlign w:val="center"/>
          </w:tcPr>
          <w:p w:rsidR="0007384B" w:rsidRDefault="0007384B" w:rsidP="00B36CA2">
            <w:pPr>
              <w:autoSpaceDE w:val="0"/>
              <w:autoSpaceDN w:val="0"/>
              <w:adjustRightInd w:val="0"/>
              <w:jc w:val="right"/>
              <w:rPr>
                <w:sz w:val="18"/>
              </w:rPr>
            </w:pPr>
            <w:r>
              <w:rPr>
                <w:sz w:val="18"/>
              </w:rPr>
              <w:t>3.600,00</w:t>
            </w:r>
          </w:p>
        </w:tc>
        <w:tc>
          <w:tcPr>
            <w:tcW w:w="408" w:type="dxa"/>
            <w:vAlign w:val="center"/>
          </w:tcPr>
          <w:p w:rsidR="0007384B" w:rsidRDefault="0007384B" w:rsidP="00B36CA2">
            <w:pPr>
              <w:autoSpaceDE w:val="0"/>
              <w:autoSpaceDN w:val="0"/>
              <w:adjustRightInd w:val="0"/>
              <w:jc w:val="center"/>
              <w:rPr>
                <w:sz w:val="18"/>
              </w:rPr>
            </w:pPr>
            <w:r>
              <w:rPr>
                <w:sz w:val="18"/>
              </w:rPr>
              <w:t>Bij</w:t>
            </w:r>
          </w:p>
        </w:tc>
        <w:tc>
          <w:tcPr>
            <w:tcW w:w="1040" w:type="dxa"/>
            <w:vAlign w:val="center"/>
          </w:tcPr>
          <w:p w:rsidR="0007384B" w:rsidRDefault="0007384B" w:rsidP="00B36CA2">
            <w:pPr>
              <w:autoSpaceDE w:val="0"/>
              <w:autoSpaceDN w:val="0"/>
              <w:adjustRightInd w:val="0"/>
              <w:jc w:val="right"/>
              <w:rPr>
                <w:sz w:val="18"/>
              </w:rPr>
            </w:pPr>
            <w:r>
              <w:rPr>
                <w:sz w:val="18"/>
              </w:rPr>
              <w:t>3.600,00</w:t>
            </w:r>
          </w:p>
        </w:tc>
        <w:tc>
          <w:tcPr>
            <w:tcW w:w="543" w:type="dxa"/>
            <w:vAlign w:val="center"/>
          </w:tcPr>
          <w:p w:rsidR="0007384B" w:rsidRDefault="0007384B" w:rsidP="00B36CA2">
            <w:pPr>
              <w:autoSpaceDE w:val="0"/>
              <w:autoSpaceDN w:val="0"/>
              <w:adjustRightInd w:val="0"/>
              <w:jc w:val="center"/>
              <w:rPr>
                <w:sz w:val="18"/>
              </w:rPr>
            </w:pPr>
            <w:r>
              <w:rPr>
                <w:sz w:val="18"/>
              </w:rPr>
              <w:t>Bij</w:t>
            </w:r>
          </w:p>
        </w:tc>
        <w:tc>
          <w:tcPr>
            <w:tcW w:w="1086" w:type="dxa"/>
            <w:vAlign w:val="center"/>
          </w:tcPr>
          <w:p w:rsidR="0007384B" w:rsidRDefault="0007384B" w:rsidP="00B36CA2">
            <w:pPr>
              <w:autoSpaceDE w:val="0"/>
              <w:autoSpaceDN w:val="0"/>
              <w:adjustRightInd w:val="0"/>
              <w:jc w:val="right"/>
              <w:rPr>
                <w:sz w:val="18"/>
              </w:rPr>
            </w:pPr>
            <w:r>
              <w:rPr>
                <w:sz w:val="18"/>
              </w:rPr>
              <w:t>3.600,00</w:t>
            </w:r>
          </w:p>
        </w:tc>
        <w:tc>
          <w:tcPr>
            <w:tcW w:w="409" w:type="dxa"/>
            <w:vAlign w:val="center"/>
          </w:tcPr>
          <w:p w:rsidR="0007384B" w:rsidRDefault="0007384B" w:rsidP="00B36CA2">
            <w:pPr>
              <w:autoSpaceDE w:val="0"/>
              <w:autoSpaceDN w:val="0"/>
              <w:adjustRightInd w:val="0"/>
              <w:jc w:val="center"/>
              <w:rPr>
                <w:sz w:val="18"/>
              </w:rPr>
            </w:pPr>
            <w:r>
              <w:rPr>
                <w:sz w:val="18"/>
              </w:rPr>
              <w:t>Bij</w:t>
            </w:r>
          </w:p>
        </w:tc>
        <w:tc>
          <w:tcPr>
            <w:tcW w:w="903" w:type="dxa"/>
            <w:vAlign w:val="center"/>
          </w:tcPr>
          <w:p w:rsidR="0007384B" w:rsidRDefault="0007384B" w:rsidP="00B36CA2">
            <w:pPr>
              <w:autoSpaceDE w:val="0"/>
              <w:autoSpaceDN w:val="0"/>
              <w:adjustRightInd w:val="0"/>
              <w:jc w:val="right"/>
              <w:rPr>
                <w:sz w:val="18"/>
              </w:rPr>
            </w:pPr>
            <w:r>
              <w:rPr>
                <w:sz w:val="18"/>
              </w:rPr>
              <w:t>3.600,00</w:t>
            </w:r>
          </w:p>
        </w:tc>
        <w:tc>
          <w:tcPr>
            <w:tcW w:w="409" w:type="dxa"/>
            <w:vAlign w:val="center"/>
          </w:tcPr>
          <w:p w:rsidR="0007384B" w:rsidRDefault="0007384B" w:rsidP="00B36CA2">
            <w:pPr>
              <w:autoSpaceDE w:val="0"/>
              <w:autoSpaceDN w:val="0"/>
              <w:adjustRightInd w:val="0"/>
              <w:jc w:val="center"/>
              <w:rPr>
                <w:sz w:val="18"/>
              </w:rPr>
            </w:pPr>
            <w:r>
              <w:rPr>
                <w:sz w:val="18"/>
              </w:rPr>
              <w:t>Bij</w:t>
            </w:r>
          </w:p>
        </w:tc>
      </w:tr>
      <w:tr w:rsidR="0007384B" w:rsidTr="00B36CA2">
        <w:trPr>
          <w:cantSplit/>
          <w:trHeight w:val="369"/>
        </w:trPr>
        <w:tc>
          <w:tcPr>
            <w:tcW w:w="384" w:type="dxa"/>
            <w:tcBorders>
              <w:bottom w:val="single" w:sz="4" w:space="0" w:color="auto"/>
            </w:tcBorders>
            <w:vAlign w:val="center"/>
          </w:tcPr>
          <w:p w:rsidR="0007384B" w:rsidRDefault="0007384B" w:rsidP="00B36CA2">
            <w:pPr>
              <w:autoSpaceDE w:val="0"/>
              <w:autoSpaceDN w:val="0"/>
              <w:adjustRightInd w:val="0"/>
              <w:jc w:val="center"/>
              <w:rPr>
                <w:sz w:val="18"/>
              </w:rPr>
            </w:pPr>
            <w:r>
              <w:rPr>
                <w:sz w:val="18"/>
              </w:rPr>
              <w:t>b</w:t>
            </w:r>
          </w:p>
        </w:tc>
        <w:tc>
          <w:tcPr>
            <w:tcW w:w="1969" w:type="dxa"/>
            <w:tcBorders>
              <w:bottom w:val="single" w:sz="4" w:space="0" w:color="auto"/>
            </w:tcBorders>
            <w:vAlign w:val="center"/>
          </w:tcPr>
          <w:p w:rsidR="0007384B" w:rsidRDefault="0007384B" w:rsidP="00B36CA2">
            <w:pPr>
              <w:autoSpaceDE w:val="0"/>
              <w:autoSpaceDN w:val="0"/>
              <w:adjustRightInd w:val="0"/>
              <w:rPr>
                <w:sz w:val="18"/>
              </w:rPr>
            </w:pPr>
            <w:r>
              <w:rPr>
                <w:sz w:val="18"/>
              </w:rPr>
              <w:t>Pensioenfonds</w:t>
            </w:r>
          </w:p>
        </w:tc>
        <w:tc>
          <w:tcPr>
            <w:tcW w:w="1086" w:type="dxa"/>
            <w:tcBorders>
              <w:bottom w:val="single" w:sz="4" w:space="0" w:color="auto"/>
            </w:tcBorders>
            <w:vAlign w:val="center"/>
          </w:tcPr>
          <w:p w:rsidR="0007384B" w:rsidRDefault="0007384B" w:rsidP="00B36CA2">
            <w:pPr>
              <w:autoSpaceDE w:val="0"/>
              <w:autoSpaceDN w:val="0"/>
              <w:adjustRightInd w:val="0"/>
              <w:jc w:val="right"/>
              <w:rPr>
                <w:sz w:val="18"/>
                <w:lang w:val="en-GB"/>
              </w:rPr>
            </w:pPr>
            <w:r>
              <w:rPr>
                <w:sz w:val="18"/>
                <w:lang w:val="en-GB"/>
              </w:rPr>
              <w:t>180,00 / 120,00</w:t>
            </w:r>
          </w:p>
        </w:tc>
        <w:tc>
          <w:tcPr>
            <w:tcW w:w="1086" w:type="dxa"/>
            <w:tcBorders>
              <w:bottom w:val="single" w:sz="4" w:space="0" w:color="auto"/>
            </w:tcBorders>
            <w:vAlign w:val="center"/>
          </w:tcPr>
          <w:p w:rsidR="0007384B" w:rsidRDefault="0007384B" w:rsidP="00B36CA2">
            <w:pPr>
              <w:autoSpaceDE w:val="0"/>
              <w:autoSpaceDN w:val="0"/>
              <w:adjustRightInd w:val="0"/>
              <w:jc w:val="right"/>
              <w:rPr>
                <w:sz w:val="18"/>
                <w:lang w:val="en-GB"/>
              </w:rPr>
            </w:pPr>
            <w:r>
              <w:rPr>
                <w:sz w:val="18"/>
                <w:lang w:val="en-GB"/>
              </w:rPr>
              <w:t>120,00</w:t>
            </w:r>
          </w:p>
        </w:tc>
        <w:tc>
          <w:tcPr>
            <w:tcW w:w="408" w:type="dxa"/>
            <w:tcBorders>
              <w:bottom w:val="single" w:sz="4" w:space="0" w:color="auto"/>
            </w:tcBorders>
            <w:vAlign w:val="center"/>
          </w:tcPr>
          <w:p w:rsidR="0007384B" w:rsidRDefault="0007384B" w:rsidP="00B36CA2">
            <w:pPr>
              <w:autoSpaceDE w:val="0"/>
              <w:autoSpaceDN w:val="0"/>
              <w:adjustRightInd w:val="0"/>
              <w:jc w:val="center"/>
              <w:rPr>
                <w:sz w:val="18"/>
                <w:lang w:val="en-GB"/>
              </w:rPr>
            </w:pPr>
            <w:r>
              <w:rPr>
                <w:sz w:val="18"/>
                <w:lang w:val="en-GB"/>
              </w:rPr>
              <w:t>Af</w:t>
            </w:r>
          </w:p>
        </w:tc>
        <w:tc>
          <w:tcPr>
            <w:tcW w:w="1040" w:type="dxa"/>
            <w:tcBorders>
              <w:bottom w:val="single" w:sz="4" w:space="0" w:color="auto"/>
            </w:tcBorders>
            <w:vAlign w:val="center"/>
          </w:tcPr>
          <w:p w:rsidR="0007384B" w:rsidRDefault="0007384B" w:rsidP="00B36CA2">
            <w:pPr>
              <w:autoSpaceDE w:val="0"/>
              <w:autoSpaceDN w:val="0"/>
              <w:adjustRightInd w:val="0"/>
              <w:jc w:val="right"/>
              <w:rPr>
                <w:sz w:val="18"/>
                <w:lang w:val="en-GB"/>
              </w:rPr>
            </w:pPr>
            <w:r>
              <w:rPr>
                <w:sz w:val="18"/>
                <w:lang w:val="en-GB"/>
              </w:rPr>
              <w:t>120,00</w:t>
            </w:r>
          </w:p>
        </w:tc>
        <w:tc>
          <w:tcPr>
            <w:tcW w:w="543" w:type="dxa"/>
            <w:tcBorders>
              <w:bottom w:val="single" w:sz="4" w:space="0" w:color="auto"/>
            </w:tcBorders>
            <w:vAlign w:val="center"/>
          </w:tcPr>
          <w:p w:rsidR="0007384B" w:rsidRDefault="0007384B" w:rsidP="00B36CA2">
            <w:pPr>
              <w:autoSpaceDE w:val="0"/>
              <w:autoSpaceDN w:val="0"/>
              <w:adjustRightInd w:val="0"/>
              <w:jc w:val="center"/>
              <w:rPr>
                <w:sz w:val="18"/>
                <w:lang w:val="en-GB"/>
              </w:rPr>
            </w:pPr>
            <w:r>
              <w:rPr>
                <w:sz w:val="18"/>
                <w:lang w:val="en-GB"/>
              </w:rPr>
              <w:t>Af</w:t>
            </w:r>
          </w:p>
        </w:tc>
        <w:tc>
          <w:tcPr>
            <w:tcW w:w="1086" w:type="dxa"/>
            <w:tcBorders>
              <w:bottom w:val="single" w:sz="4" w:space="0" w:color="auto"/>
            </w:tcBorders>
            <w:vAlign w:val="center"/>
          </w:tcPr>
          <w:p w:rsidR="0007384B" w:rsidRDefault="0007384B" w:rsidP="00B36CA2">
            <w:pPr>
              <w:autoSpaceDE w:val="0"/>
              <w:autoSpaceDN w:val="0"/>
              <w:adjustRightInd w:val="0"/>
              <w:jc w:val="right"/>
              <w:rPr>
                <w:sz w:val="18"/>
                <w:lang w:val="en-GB"/>
              </w:rPr>
            </w:pPr>
            <w:r>
              <w:rPr>
                <w:sz w:val="18"/>
                <w:lang w:val="en-GB"/>
              </w:rPr>
              <w:t>120,00</w:t>
            </w:r>
          </w:p>
        </w:tc>
        <w:tc>
          <w:tcPr>
            <w:tcW w:w="409" w:type="dxa"/>
            <w:tcBorders>
              <w:bottom w:val="single" w:sz="4" w:space="0" w:color="auto"/>
            </w:tcBorders>
            <w:vAlign w:val="center"/>
          </w:tcPr>
          <w:p w:rsidR="0007384B" w:rsidRDefault="0007384B" w:rsidP="00B36CA2">
            <w:pPr>
              <w:autoSpaceDE w:val="0"/>
              <w:autoSpaceDN w:val="0"/>
              <w:adjustRightInd w:val="0"/>
              <w:jc w:val="center"/>
              <w:rPr>
                <w:sz w:val="18"/>
                <w:lang w:val="en-GB"/>
              </w:rPr>
            </w:pPr>
            <w:r>
              <w:rPr>
                <w:sz w:val="18"/>
                <w:lang w:val="en-GB"/>
              </w:rPr>
              <w:t>Af</w:t>
            </w:r>
          </w:p>
        </w:tc>
        <w:tc>
          <w:tcPr>
            <w:tcW w:w="903" w:type="dxa"/>
            <w:tcBorders>
              <w:bottom w:val="single" w:sz="4" w:space="0" w:color="auto"/>
            </w:tcBorders>
            <w:vAlign w:val="center"/>
          </w:tcPr>
          <w:p w:rsidR="0007384B" w:rsidRDefault="0007384B" w:rsidP="00B36CA2">
            <w:pPr>
              <w:autoSpaceDE w:val="0"/>
              <w:autoSpaceDN w:val="0"/>
              <w:adjustRightInd w:val="0"/>
              <w:jc w:val="right"/>
              <w:rPr>
                <w:sz w:val="18"/>
                <w:lang w:val="en-GB"/>
              </w:rPr>
            </w:pPr>
            <w:r>
              <w:rPr>
                <w:sz w:val="18"/>
                <w:lang w:val="en-GB"/>
              </w:rPr>
              <w:t>120,00</w:t>
            </w:r>
          </w:p>
        </w:tc>
        <w:tc>
          <w:tcPr>
            <w:tcW w:w="409" w:type="dxa"/>
            <w:tcBorders>
              <w:bottom w:val="single" w:sz="4" w:space="0" w:color="auto"/>
            </w:tcBorders>
            <w:vAlign w:val="center"/>
          </w:tcPr>
          <w:p w:rsidR="0007384B" w:rsidRDefault="0007384B" w:rsidP="00B36CA2">
            <w:pPr>
              <w:autoSpaceDE w:val="0"/>
              <w:autoSpaceDN w:val="0"/>
              <w:adjustRightInd w:val="0"/>
              <w:jc w:val="center"/>
              <w:rPr>
                <w:sz w:val="18"/>
                <w:lang w:val="en-GB"/>
              </w:rPr>
            </w:pPr>
            <w:r>
              <w:rPr>
                <w:sz w:val="18"/>
                <w:lang w:val="en-GB"/>
              </w:rPr>
              <w:t>Af</w:t>
            </w:r>
          </w:p>
        </w:tc>
      </w:tr>
      <w:tr w:rsidR="0007384B" w:rsidTr="00B36CA2">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rPr>
                <w:sz w:val="18"/>
              </w:rPr>
            </w:pPr>
            <w:r>
              <w:rPr>
                <w:sz w:val="18"/>
              </w:rPr>
              <w:t>Premies werknemers-verzekeringen</w:t>
            </w:r>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right"/>
              <w:rPr>
                <w:sz w:val="18"/>
              </w:rPr>
            </w:pPr>
            <w:r>
              <w:rPr>
                <w:sz w:val="18"/>
              </w:rPr>
              <w:t>460,00</w:t>
            </w:r>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right"/>
              <w:rPr>
                <w:sz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center"/>
              <w:rPr>
                <w:sz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right"/>
              <w:rPr>
                <w:sz w:val="18"/>
              </w:rPr>
            </w:pPr>
          </w:p>
        </w:tc>
        <w:tc>
          <w:tcPr>
            <w:tcW w:w="543"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center"/>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right"/>
              <w:rPr>
                <w:sz w:val="18"/>
              </w:rPr>
            </w:pPr>
          </w:p>
        </w:tc>
        <w:tc>
          <w:tcPr>
            <w:tcW w:w="409"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center"/>
              <w:rPr>
                <w:sz w:val="18"/>
              </w:rPr>
            </w:pPr>
          </w:p>
        </w:tc>
        <w:tc>
          <w:tcPr>
            <w:tcW w:w="903"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right"/>
              <w:rPr>
                <w:sz w:val="18"/>
              </w:rPr>
            </w:pPr>
          </w:p>
        </w:tc>
        <w:tc>
          <w:tcPr>
            <w:tcW w:w="409" w:type="dxa"/>
            <w:tcBorders>
              <w:top w:val="single" w:sz="4" w:space="0" w:color="auto"/>
              <w:left w:val="single" w:sz="4" w:space="0" w:color="auto"/>
              <w:bottom w:val="single" w:sz="4" w:space="0" w:color="auto"/>
              <w:right w:val="single" w:sz="4" w:space="0" w:color="auto"/>
            </w:tcBorders>
            <w:vAlign w:val="center"/>
          </w:tcPr>
          <w:p w:rsidR="0007384B" w:rsidRDefault="0007384B" w:rsidP="00B36CA2">
            <w:pPr>
              <w:autoSpaceDE w:val="0"/>
              <w:autoSpaceDN w:val="0"/>
              <w:adjustRightInd w:val="0"/>
              <w:jc w:val="center"/>
              <w:rPr>
                <w:sz w:val="18"/>
              </w:rPr>
            </w:pPr>
          </w:p>
        </w:tc>
      </w:tr>
      <w:tr w:rsidR="0007384B" w:rsidTr="00B36CA2">
        <w:trPr>
          <w:cantSplit/>
          <w:trHeight w:val="369"/>
        </w:trPr>
        <w:tc>
          <w:tcPr>
            <w:tcW w:w="384" w:type="dxa"/>
            <w:tcBorders>
              <w:top w:val="single" w:sz="4" w:space="0" w:color="auto"/>
            </w:tcBorders>
            <w:vAlign w:val="center"/>
          </w:tcPr>
          <w:p w:rsidR="0007384B" w:rsidRDefault="0007384B" w:rsidP="00B36CA2">
            <w:pPr>
              <w:autoSpaceDE w:val="0"/>
              <w:autoSpaceDN w:val="0"/>
              <w:adjustRightInd w:val="0"/>
              <w:jc w:val="center"/>
              <w:rPr>
                <w:sz w:val="18"/>
              </w:rPr>
            </w:pPr>
            <w:r>
              <w:rPr>
                <w:sz w:val="18"/>
              </w:rPr>
              <w:t>d</w:t>
            </w:r>
          </w:p>
        </w:tc>
        <w:tc>
          <w:tcPr>
            <w:tcW w:w="1969" w:type="dxa"/>
            <w:tcBorders>
              <w:top w:val="single" w:sz="4" w:space="0" w:color="auto"/>
            </w:tcBorders>
            <w:vAlign w:val="center"/>
          </w:tcPr>
          <w:p w:rsidR="0007384B" w:rsidRDefault="0007384B" w:rsidP="00B36CA2">
            <w:pPr>
              <w:autoSpaceDE w:val="0"/>
              <w:autoSpaceDN w:val="0"/>
              <w:adjustRightInd w:val="0"/>
              <w:rPr>
                <w:sz w:val="18"/>
              </w:rPr>
            </w:pPr>
            <w:r>
              <w:rPr>
                <w:sz w:val="18"/>
              </w:rPr>
              <w:t>Terreinauto van de zaak</w:t>
            </w:r>
          </w:p>
        </w:tc>
        <w:tc>
          <w:tcPr>
            <w:tcW w:w="1086" w:type="dxa"/>
            <w:tcBorders>
              <w:top w:val="single" w:sz="4" w:space="0" w:color="auto"/>
            </w:tcBorders>
            <w:vAlign w:val="center"/>
          </w:tcPr>
          <w:p w:rsidR="0007384B" w:rsidRDefault="0007384B" w:rsidP="00B36CA2">
            <w:pPr>
              <w:autoSpaceDE w:val="0"/>
              <w:autoSpaceDN w:val="0"/>
              <w:adjustRightInd w:val="0"/>
              <w:jc w:val="right"/>
              <w:rPr>
                <w:sz w:val="18"/>
                <w:lang w:val="es-ES_tradnl"/>
              </w:rPr>
            </w:pPr>
            <w:r>
              <w:rPr>
                <w:sz w:val="18"/>
                <w:lang w:val="es-ES_tradnl"/>
              </w:rPr>
              <w:t>38.016,00 / 198,00</w:t>
            </w:r>
          </w:p>
        </w:tc>
        <w:tc>
          <w:tcPr>
            <w:tcW w:w="1086" w:type="dxa"/>
            <w:tcBorders>
              <w:top w:val="single" w:sz="4" w:space="0" w:color="auto"/>
            </w:tcBorders>
            <w:vAlign w:val="center"/>
          </w:tcPr>
          <w:p w:rsidR="0007384B" w:rsidRDefault="0007384B" w:rsidP="00B36CA2">
            <w:pPr>
              <w:autoSpaceDE w:val="0"/>
              <w:autoSpaceDN w:val="0"/>
              <w:adjustRightInd w:val="0"/>
              <w:jc w:val="right"/>
              <w:rPr>
                <w:sz w:val="18"/>
                <w:lang w:val="es-ES_tradnl"/>
              </w:rPr>
            </w:pPr>
            <w:r>
              <w:rPr>
                <w:sz w:val="18"/>
                <w:lang w:val="es-ES_tradnl"/>
              </w:rPr>
              <w:t>594,00</w:t>
            </w:r>
          </w:p>
        </w:tc>
        <w:tc>
          <w:tcPr>
            <w:tcW w:w="408" w:type="dxa"/>
            <w:tcBorders>
              <w:top w:val="single" w:sz="4" w:space="0" w:color="auto"/>
            </w:tcBorders>
            <w:vAlign w:val="center"/>
          </w:tcPr>
          <w:p w:rsidR="0007384B" w:rsidRDefault="0007384B" w:rsidP="00B36CA2">
            <w:pPr>
              <w:autoSpaceDE w:val="0"/>
              <w:autoSpaceDN w:val="0"/>
              <w:adjustRightInd w:val="0"/>
              <w:jc w:val="center"/>
              <w:rPr>
                <w:sz w:val="18"/>
                <w:lang w:val="es-ES_tradnl"/>
              </w:rPr>
            </w:pPr>
            <w:r>
              <w:rPr>
                <w:sz w:val="18"/>
                <w:lang w:val="es-ES_tradnl"/>
              </w:rPr>
              <w:t>Bij</w:t>
            </w:r>
          </w:p>
        </w:tc>
        <w:tc>
          <w:tcPr>
            <w:tcW w:w="1040" w:type="dxa"/>
            <w:tcBorders>
              <w:top w:val="single" w:sz="4" w:space="0" w:color="auto"/>
            </w:tcBorders>
            <w:vAlign w:val="center"/>
          </w:tcPr>
          <w:p w:rsidR="0007384B" w:rsidRDefault="0007384B" w:rsidP="00B36CA2">
            <w:pPr>
              <w:autoSpaceDE w:val="0"/>
              <w:autoSpaceDN w:val="0"/>
              <w:adjustRightInd w:val="0"/>
              <w:jc w:val="right"/>
              <w:rPr>
                <w:sz w:val="18"/>
                <w:lang w:val="es-ES_tradnl"/>
              </w:rPr>
            </w:pPr>
            <w:r>
              <w:rPr>
                <w:sz w:val="18"/>
                <w:lang w:val="es-ES_tradnl"/>
              </w:rPr>
              <w:t>594,00</w:t>
            </w:r>
          </w:p>
        </w:tc>
        <w:tc>
          <w:tcPr>
            <w:tcW w:w="543" w:type="dxa"/>
            <w:tcBorders>
              <w:top w:val="single" w:sz="4" w:space="0" w:color="auto"/>
            </w:tcBorders>
            <w:vAlign w:val="center"/>
          </w:tcPr>
          <w:p w:rsidR="0007384B" w:rsidRDefault="0007384B" w:rsidP="00B36CA2">
            <w:pPr>
              <w:autoSpaceDE w:val="0"/>
              <w:autoSpaceDN w:val="0"/>
              <w:adjustRightInd w:val="0"/>
              <w:jc w:val="center"/>
              <w:rPr>
                <w:sz w:val="18"/>
                <w:lang w:val="es-ES_tradnl"/>
              </w:rPr>
            </w:pPr>
            <w:r>
              <w:rPr>
                <w:sz w:val="18"/>
                <w:lang w:val="es-ES_tradnl"/>
              </w:rPr>
              <w:t>Bij</w:t>
            </w:r>
          </w:p>
        </w:tc>
        <w:tc>
          <w:tcPr>
            <w:tcW w:w="1086" w:type="dxa"/>
            <w:tcBorders>
              <w:top w:val="single" w:sz="4" w:space="0" w:color="auto"/>
            </w:tcBorders>
            <w:vAlign w:val="center"/>
          </w:tcPr>
          <w:p w:rsidR="0007384B" w:rsidRDefault="0007384B" w:rsidP="00B36CA2">
            <w:pPr>
              <w:autoSpaceDE w:val="0"/>
              <w:autoSpaceDN w:val="0"/>
              <w:adjustRightInd w:val="0"/>
              <w:jc w:val="right"/>
              <w:rPr>
                <w:sz w:val="18"/>
                <w:lang w:val="es-ES_tradnl"/>
              </w:rPr>
            </w:pPr>
            <w:r>
              <w:rPr>
                <w:sz w:val="18"/>
                <w:lang w:val="es-ES_tradnl"/>
              </w:rPr>
              <w:t>594,00</w:t>
            </w:r>
          </w:p>
        </w:tc>
        <w:tc>
          <w:tcPr>
            <w:tcW w:w="409" w:type="dxa"/>
            <w:tcBorders>
              <w:top w:val="single" w:sz="4" w:space="0" w:color="auto"/>
            </w:tcBorders>
            <w:vAlign w:val="center"/>
          </w:tcPr>
          <w:p w:rsidR="0007384B" w:rsidRDefault="0007384B" w:rsidP="00B36CA2">
            <w:pPr>
              <w:autoSpaceDE w:val="0"/>
              <w:autoSpaceDN w:val="0"/>
              <w:adjustRightInd w:val="0"/>
              <w:jc w:val="center"/>
              <w:rPr>
                <w:sz w:val="18"/>
                <w:lang w:val="es-ES_tradnl"/>
              </w:rPr>
            </w:pPr>
            <w:r>
              <w:rPr>
                <w:sz w:val="18"/>
                <w:lang w:val="es-ES_tradnl"/>
              </w:rPr>
              <w:t>Bij</w:t>
            </w:r>
          </w:p>
        </w:tc>
        <w:tc>
          <w:tcPr>
            <w:tcW w:w="903" w:type="dxa"/>
            <w:tcBorders>
              <w:top w:val="single" w:sz="4" w:space="0" w:color="auto"/>
            </w:tcBorders>
            <w:vAlign w:val="center"/>
          </w:tcPr>
          <w:p w:rsidR="0007384B" w:rsidRDefault="0007384B" w:rsidP="00B36CA2">
            <w:pPr>
              <w:autoSpaceDE w:val="0"/>
              <w:autoSpaceDN w:val="0"/>
              <w:adjustRightInd w:val="0"/>
              <w:jc w:val="right"/>
              <w:rPr>
                <w:sz w:val="18"/>
              </w:rPr>
            </w:pPr>
            <w:r>
              <w:rPr>
                <w:sz w:val="18"/>
              </w:rPr>
              <w:t>198,00</w:t>
            </w:r>
          </w:p>
        </w:tc>
        <w:tc>
          <w:tcPr>
            <w:tcW w:w="409" w:type="dxa"/>
            <w:tcBorders>
              <w:top w:val="single" w:sz="4" w:space="0" w:color="auto"/>
            </w:tcBorders>
            <w:vAlign w:val="center"/>
          </w:tcPr>
          <w:p w:rsidR="0007384B" w:rsidRDefault="0007384B" w:rsidP="00B36CA2">
            <w:pPr>
              <w:autoSpaceDE w:val="0"/>
              <w:autoSpaceDN w:val="0"/>
              <w:adjustRightInd w:val="0"/>
              <w:jc w:val="center"/>
              <w:rPr>
                <w:sz w:val="18"/>
              </w:rPr>
            </w:pPr>
            <w:r>
              <w:rPr>
                <w:sz w:val="18"/>
              </w:rPr>
              <w:t>Af</w:t>
            </w:r>
          </w:p>
        </w:tc>
      </w:tr>
      <w:tr w:rsidR="0007384B" w:rsidTr="00B36CA2">
        <w:trPr>
          <w:cantSplit/>
          <w:trHeight w:val="369"/>
        </w:trPr>
        <w:tc>
          <w:tcPr>
            <w:tcW w:w="384" w:type="dxa"/>
            <w:vAlign w:val="center"/>
          </w:tcPr>
          <w:p w:rsidR="0007384B" w:rsidRDefault="0007384B" w:rsidP="00B36CA2">
            <w:pPr>
              <w:autoSpaceDE w:val="0"/>
              <w:autoSpaceDN w:val="0"/>
              <w:adjustRightInd w:val="0"/>
              <w:jc w:val="center"/>
              <w:rPr>
                <w:sz w:val="18"/>
              </w:rPr>
            </w:pPr>
            <w:r>
              <w:rPr>
                <w:sz w:val="18"/>
              </w:rPr>
              <w:t>e</w:t>
            </w:r>
          </w:p>
        </w:tc>
        <w:tc>
          <w:tcPr>
            <w:tcW w:w="1969" w:type="dxa"/>
            <w:vAlign w:val="center"/>
          </w:tcPr>
          <w:p w:rsidR="0007384B" w:rsidRDefault="0007384B" w:rsidP="00B36CA2">
            <w:pPr>
              <w:autoSpaceDE w:val="0"/>
              <w:autoSpaceDN w:val="0"/>
              <w:adjustRightInd w:val="0"/>
              <w:rPr>
                <w:sz w:val="18"/>
              </w:rPr>
            </w:pPr>
            <w:r>
              <w:rPr>
                <w:sz w:val="18"/>
              </w:rPr>
              <w:t>Levensloopregeling</w:t>
            </w:r>
          </w:p>
        </w:tc>
        <w:tc>
          <w:tcPr>
            <w:tcW w:w="1086" w:type="dxa"/>
            <w:vAlign w:val="center"/>
          </w:tcPr>
          <w:p w:rsidR="0007384B" w:rsidRDefault="0007384B" w:rsidP="00B36CA2">
            <w:pPr>
              <w:autoSpaceDE w:val="0"/>
              <w:autoSpaceDN w:val="0"/>
              <w:adjustRightInd w:val="0"/>
              <w:jc w:val="right"/>
              <w:rPr>
                <w:sz w:val="18"/>
                <w:lang w:val="es-ES_tradnl"/>
              </w:rPr>
            </w:pPr>
            <w:r>
              <w:rPr>
                <w:sz w:val="18"/>
                <w:lang w:val="es-ES_tradnl"/>
              </w:rPr>
              <w:t>180,00</w:t>
            </w:r>
          </w:p>
        </w:tc>
        <w:tc>
          <w:tcPr>
            <w:tcW w:w="1086" w:type="dxa"/>
            <w:vAlign w:val="center"/>
          </w:tcPr>
          <w:p w:rsidR="0007384B" w:rsidRDefault="0007384B" w:rsidP="00B36CA2">
            <w:pPr>
              <w:autoSpaceDE w:val="0"/>
              <w:autoSpaceDN w:val="0"/>
              <w:adjustRightInd w:val="0"/>
              <w:jc w:val="right"/>
              <w:rPr>
                <w:sz w:val="18"/>
                <w:lang w:val="es-ES_tradnl"/>
              </w:rPr>
            </w:pPr>
            <w:r>
              <w:rPr>
                <w:sz w:val="18"/>
                <w:lang w:val="es-ES_tradnl"/>
              </w:rPr>
              <w:t>180,00</w:t>
            </w:r>
          </w:p>
        </w:tc>
        <w:tc>
          <w:tcPr>
            <w:tcW w:w="408" w:type="dxa"/>
            <w:vAlign w:val="center"/>
          </w:tcPr>
          <w:p w:rsidR="0007384B" w:rsidRDefault="0007384B" w:rsidP="00B36CA2">
            <w:pPr>
              <w:autoSpaceDE w:val="0"/>
              <w:autoSpaceDN w:val="0"/>
              <w:adjustRightInd w:val="0"/>
              <w:jc w:val="center"/>
              <w:rPr>
                <w:sz w:val="18"/>
                <w:lang w:val="es-ES_tradnl"/>
              </w:rPr>
            </w:pPr>
            <w:r>
              <w:rPr>
                <w:sz w:val="18"/>
                <w:lang w:val="es-ES_tradnl"/>
              </w:rPr>
              <w:t>Af</w:t>
            </w:r>
          </w:p>
        </w:tc>
        <w:tc>
          <w:tcPr>
            <w:tcW w:w="1040" w:type="dxa"/>
            <w:vAlign w:val="center"/>
          </w:tcPr>
          <w:p w:rsidR="0007384B" w:rsidRDefault="0007384B" w:rsidP="00B36CA2">
            <w:pPr>
              <w:autoSpaceDE w:val="0"/>
              <w:autoSpaceDN w:val="0"/>
              <w:adjustRightInd w:val="0"/>
              <w:jc w:val="right"/>
              <w:rPr>
                <w:sz w:val="18"/>
                <w:lang w:val="es-ES_tradnl"/>
              </w:rPr>
            </w:pPr>
            <w:r>
              <w:rPr>
                <w:sz w:val="18"/>
                <w:lang w:val="es-ES_tradnl"/>
              </w:rPr>
              <w:t>180,00</w:t>
            </w:r>
          </w:p>
        </w:tc>
        <w:tc>
          <w:tcPr>
            <w:tcW w:w="543" w:type="dxa"/>
            <w:vAlign w:val="center"/>
          </w:tcPr>
          <w:p w:rsidR="0007384B" w:rsidRDefault="0007384B" w:rsidP="00B36CA2">
            <w:pPr>
              <w:autoSpaceDE w:val="0"/>
              <w:autoSpaceDN w:val="0"/>
              <w:adjustRightInd w:val="0"/>
              <w:jc w:val="center"/>
              <w:rPr>
                <w:sz w:val="18"/>
                <w:lang w:val="es-ES_tradnl"/>
              </w:rPr>
            </w:pPr>
            <w:r>
              <w:rPr>
                <w:sz w:val="18"/>
                <w:lang w:val="es-ES_tradnl"/>
              </w:rPr>
              <w:t>Af</w:t>
            </w:r>
          </w:p>
        </w:tc>
        <w:tc>
          <w:tcPr>
            <w:tcW w:w="1086" w:type="dxa"/>
            <w:vAlign w:val="center"/>
          </w:tcPr>
          <w:p w:rsidR="0007384B" w:rsidRDefault="0007384B" w:rsidP="00B36CA2">
            <w:pPr>
              <w:autoSpaceDE w:val="0"/>
              <w:autoSpaceDN w:val="0"/>
              <w:adjustRightInd w:val="0"/>
              <w:jc w:val="right"/>
              <w:rPr>
                <w:sz w:val="18"/>
                <w:lang w:val="es-ES_tradnl"/>
              </w:rPr>
            </w:pPr>
            <w:r>
              <w:rPr>
                <w:sz w:val="18"/>
                <w:lang w:val="es-ES_tradnl"/>
              </w:rPr>
              <w:t>180,00</w:t>
            </w:r>
          </w:p>
        </w:tc>
        <w:tc>
          <w:tcPr>
            <w:tcW w:w="409" w:type="dxa"/>
            <w:vAlign w:val="center"/>
          </w:tcPr>
          <w:p w:rsidR="0007384B" w:rsidRDefault="0007384B" w:rsidP="00B36CA2">
            <w:pPr>
              <w:autoSpaceDE w:val="0"/>
              <w:autoSpaceDN w:val="0"/>
              <w:adjustRightInd w:val="0"/>
              <w:jc w:val="center"/>
              <w:rPr>
                <w:sz w:val="18"/>
                <w:lang w:val="es-ES_tradnl"/>
              </w:rPr>
            </w:pPr>
            <w:r>
              <w:rPr>
                <w:sz w:val="18"/>
                <w:lang w:val="es-ES_tradnl"/>
              </w:rPr>
              <w:t>Af</w:t>
            </w:r>
          </w:p>
        </w:tc>
        <w:tc>
          <w:tcPr>
            <w:tcW w:w="903" w:type="dxa"/>
            <w:vAlign w:val="center"/>
          </w:tcPr>
          <w:p w:rsidR="0007384B" w:rsidRDefault="0007384B" w:rsidP="00B36CA2">
            <w:pPr>
              <w:autoSpaceDE w:val="0"/>
              <w:autoSpaceDN w:val="0"/>
              <w:adjustRightInd w:val="0"/>
              <w:jc w:val="right"/>
              <w:rPr>
                <w:sz w:val="18"/>
                <w:lang w:val="es-ES_tradnl"/>
              </w:rPr>
            </w:pPr>
            <w:r>
              <w:rPr>
                <w:sz w:val="18"/>
                <w:lang w:val="es-ES_tradnl"/>
              </w:rPr>
              <w:t>180,00</w:t>
            </w:r>
          </w:p>
        </w:tc>
        <w:tc>
          <w:tcPr>
            <w:tcW w:w="409" w:type="dxa"/>
            <w:vAlign w:val="center"/>
          </w:tcPr>
          <w:p w:rsidR="0007384B" w:rsidRDefault="0007384B" w:rsidP="00B36CA2">
            <w:pPr>
              <w:autoSpaceDE w:val="0"/>
              <w:autoSpaceDN w:val="0"/>
              <w:adjustRightInd w:val="0"/>
              <w:jc w:val="center"/>
              <w:rPr>
                <w:sz w:val="18"/>
                <w:lang w:val="es-ES_tradnl"/>
              </w:rPr>
            </w:pPr>
            <w:r>
              <w:rPr>
                <w:sz w:val="18"/>
                <w:lang w:val="es-ES_tradnl"/>
              </w:rPr>
              <w:t>Af</w:t>
            </w:r>
          </w:p>
        </w:tc>
      </w:tr>
      <w:tr w:rsidR="0007384B" w:rsidTr="00B36CA2">
        <w:trPr>
          <w:cantSplit/>
          <w:trHeight w:val="369"/>
        </w:trPr>
        <w:tc>
          <w:tcPr>
            <w:tcW w:w="384" w:type="dxa"/>
            <w:vAlign w:val="center"/>
          </w:tcPr>
          <w:p w:rsidR="0007384B" w:rsidRDefault="0007384B" w:rsidP="00B36CA2">
            <w:pPr>
              <w:autoSpaceDE w:val="0"/>
              <w:autoSpaceDN w:val="0"/>
              <w:adjustRightInd w:val="0"/>
              <w:jc w:val="center"/>
              <w:rPr>
                <w:sz w:val="18"/>
              </w:rPr>
            </w:pPr>
            <w:r>
              <w:rPr>
                <w:sz w:val="18"/>
              </w:rPr>
              <w:t>f</w:t>
            </w:r>
          </w:p>
        </w:tc>
        <w:tc>
          <w:tcPr>
            <w:tcW w:w="1969" w:type="dxa"/>
            <w:vAlign w:val="center"/>
          </w:tcPr>
          <w:p w:rsidR="0007384B" w:rsidRDefault="0007384B" w:rsidP="00B36CA2">
            <w:pPr>
              <w:autoSpaceDE w:val="0"/>
              <w:autoSpaceDN w:val="0"/>
              <w:adjustRightInd w:val="0"/>
              <w:rPr>
                <w:sz w:val="18"/>
              </w:rPr>
            </w:pPr>
            <w:r>
              <w:rPr>
                <w:sz w:val="18"/>
              </w:rPr>
              <w:t>Vergoeding i.v.m. onregelmatige dienst</w:t>
            </w:r>
          </w:p>
        </w:tc>
        <w:tc>
          <w:tcPr>
            <w:tcW w:w="1086" w:type="dxa"/>
            <w:vAlign w:val="center"/>
          </w:tcPr>
          <w:p w:rsidR="0007384B" w:rsidRDefault="0007384B" w:rsidP="00B36CA2">
            <w:pPr>
              <w:autoSpaceDE w:val="0"/>
              <w:autoSpaceDN w:val="0"/>
              <w:adjustRightInd w:val="0"/>
              <w:jc w:val="right"/>
              <w:rPr>
                <w:sz w:val="18"/>
              </w:rPr>
            </w:pPr>
            <w:r>
              <w:rPr>
                <w:sz w:val="18"/>
              </w:rPr>
              <w:t>80,00</w:t>
            </w:r>
          </w:p>
        </w:tc>
        <w:tc>
          <w:tcPr>
            <w:tcW w:w="1086" w:type="dxa"/>
            <w:vAlign w:val="center"/>
          </w:tcPr>
          <w:p w:rsidR="0007384B" w:rsidRDefault="0007384B" w:rsidP="00B36CA2">
            <w:pPr>
              <w:autoSpaceDE w:val="0"/>
              <w:autoSpaceDN w:val="0"/>
              <w:adjustRightInd w:val="0"/>
              <w:jc w:val="right"/>
              <w:rPr>
                <w:sz w:val="18"/>
              </w:rPr>
            </w:pPr>
            <w:r>
              <w:rPr>
                <w:sz w:val="18"/>
              </w:rPr>
              <w:t>80,00</w:t>
            </w:r>
          </w:p>
        </w:tc>
        <w:tc>
          <w:tcPr>
            <w:tcW w:w="408" w:type="dxa"/>
            <w:vAlign w:val="center"/>
          </w:tcPr>
          <w:p w:rsidR="0007384B" w:rsidRDefault="0007384B" w:rsidP="00B36CA2">
            <w:pPr>
              <w:autoSpaceDE w:val="0"/>
              <w:autoSpaceDN w:val="0"/>
              <w:adjustRightInd w:val="0"/>
              <w:jc w:val="center"/>
              <w:rPr>
                <w:sz w:val="18"/>
              </w:rPr>
            </w:pPr>
            <w:r>
              <w:rPr>
                <w:sz w:val="18"/>
              </w:rPr>
              <w:t>Bij</w:t>
            </w:r>
          </w:p>
        </w:tc>
        <w:tc>
          <w:tcPr>
            <w:tcW w:w="1040" w:type="dxa"/>
            <w:vAlign w:val="center"/>
          </w:tcPr>
          <w:p w:rsidR="0007384B" w:rsidRDefault="0007384B" w:rsidP="00B36CA2">
            <w:pPr>
              <w:autoSpaceDE w:val="0"/>
              <w:autoSpaceDN w:val="0"/>
              <w:adjustRightInd w:val="0"/>
              <w:jc w:val="right"/>
              <w:rPr>
                <w:sz w:val="18"/>
              </w:rPr>
            </w:pPr>
            <w:r>
              <w:rPr>
                <w:sz w:val="18"/>
              </w:rPr>
              <w:t>80,00</w:t>
            </w:r>
          </w:p>
        </w:tc>
        <w:tc>
          <w:tcPr>
            <w:tcW w:w="543" w:type="dxa"/>
            <w:vAlign w:val="center"/>
          </w:tcPr>
          <w:p w:rsidR="0007384B" w:rsidRDefault="0007384B" w:rsidP="00B36CA2">
            <w:pPr>
              <w:autoSpaceDE w:val="0"/>
              <w:autoSpaceDN w:val="0"/>
              <w:adjustRightInd w:val="0"/>
              <w:jc w:val="center"/>
              <w:rPr>
                <w:sz w:val="18"/>
              </w:rPr>
            </w:pPr>
            <w:r>
              <w:rPr>
                <w:sz w:val="18"/>
              </w:rPr>
              <w:t>Bij</w:t>
            </w:r>
          </w:p>
        </w:tc>
        <w:tc>
          <w:tcPr>
            <w:tcW w:w="1086" w:type="dxa"/>
            <w:vAlign w:val="center"/>
          </w:tcPr>
          <w:p w:rsidR="0007384B" w:rsidRDefault="0007384B" w:rsidP="00B36CA2">
            <w:pPr>
              <w:autoSpaceDE w:val="0"/>
              <w:autoSpaceDN w:val="0"/>
              <w:adjustRightInd w:val="0"/>
              <w:jc w:val="right"/>
              <w:rPr>
                <w:sz w:val="18"/>
              </w:rPr>
            </w:pPr>
            <w:r>
              <w:rPr>
                <w:sz w:val="18"/>
              </w:rPr>
              <w:t>80,00</w:t>
            </w:r>
          </w:p>
        </w:tc>
        <w:tc>
          <w:tcPr>
            <w:tcW w:w="409" w:type="dxa"/>
            <w:vAlign w:val="center"/>
          </w:tcPr>
          <w:p w:rsidR="0007384B" w:rsidRDefault="0007384B" w:rsidP="00B36CA2">
            <w:pPr>
              <w:autoSpaceDE w:val="0"/>
              <w:autoSpaceDN w:val="0"/>
              <w:adjustRightInd w:val="0"/>
              <w:jc w:val="center"/>
              <w:rPr>
                <w:sz w:val="18"/>
              </w:rPr>
            </w:pPr>
            <w:r>
              <w:rPr>
                <w:sz w:val="18"/>
              </w:rPr>
              <w:t>Bij</w:t>
            </w:r>
          </w:p>
        </w:tc>
        <w:tc>
          <w:tcPr>
            <w:tcW w:w="903" w:type="dxa"/>
            <w:vAlign w:val="center"/>
          </w:tcPr>
          <w:p w:rsidR="0007384B" w:rsidRDefault="0007384B" w:rsidP="00B36CA2">
            <w:pPr>
              <w:autoSpaceDE w:val="0"/>
              <w:autoSpaceDN w:val="0"/>
              <w:adjustRightInd w:val="0"/>
              <w:jc w:val="right"/>
              <w:rPr>
                <w:sz w:val="18"/>
              </w:rPr>
            </w:pPr>
            <w:r>
              <w:rPr>
                <w:sz w:val="18"/>
              </w:rPr>
              <w:t>80,00</w:t>
            </w:r>
          </w:p>
        </w:tc>
        <w:tc>
          <w:tcPr>
            <w:tcW w:w="409" w:type="dxa"/>
            <w:vAlign w:val="center"/>
          </w:tcPr>
          <w:p w:rsidR="0007384B" w:rsidRDefault="0007384B" w:rsidP="00B36CA2">
            <w:pPr>
              <w:autoSpaceDE w:val="0"/>
              <w:autoSpaceDN w:val="0"/>
              <w:adjustRightInd w:val="0"/>
              <w:jc w:val="center"/>
              <w:rPr>
                <w:sz w:val="18"/>
              </w:rPr>
            </w:pPr>
            <w:r>
              <w:rPr>
                <w:sz w:val="18"/>
              </w:rPr>
              <w:t>Bij</w:t>
            </w:r>
          </w:p>
        </w:tc>
      </w:tr>
      <w:tr w:rsidR="0007384B" w:rsidTr="00B36CA2">
        <w:trPr>
          <w:cantSplit/>
          <w:trHeight w:val="340"/>
        </w:trPr>
        <w:tc>
          <w:tcPr>
            <w:tcW w:w="384" w:type="dxa"/>
            <w:vAlign w:val="center"/>
          </w:tcPr>
          <w:p w:rsidR="0007384B" w:rsidRDefault="0007384B" w:rsidP="00B36CA2">
            <w:pPr>
              <w:autoSpaceDE w:val="0"/>
              <w:autoSpaceDN w:val="0"/>
              <w:adjustRightInd w:val="0"/>
              <w:jc w:val="center"/>
              <w:rPr>
                <w:sz w:val="18"/>
              </w:rPr>
            </w:pPr>
            <w:r>
              <w:rPr>
                <w:sz w:val="18"/>
              </w:rPr>
              <w:t>g</w:t>
            </w:r>
          </w:p>
        </w:tc>
        <w:tc>
          <w:tcPr>
            <w:tcW w:w="1969" w:type="dxa"/>
            <w:vAlign w:val="center"/>
          </w:tcPr>
          <w:p w:rsidR="0007384B" w:rsidRDefault="0007384B" w:rsidP="00B36CA2">
            <w:pPr>
              <w:autoSpaceDE w:val="0"/>
              <w:autoSpaceDN w:val="0"/>
              <w:adjustRightInd w:val="0"/>
              <w:rPr>
                <w:sz w:val="18"/>
              </w:rPr>
            </w:pPr>
            <w:r>
              <w:rPr>
                <w:sz w:val="18"/>
              </w:rPr>
              <w:t>Loondoorbetaling tijdens ziekte</w:t>
            </w:r>
          </w:p>
        </w:tc>
        <w:tc>
          <w:tcPr>
            <w:tcW w:w="1086" w:type="dxa"/>
            <w:vAlign w:val="center"/>
          </w:tcPr>
          <w:p w:rsidR="0007384B" w:rsidRDefault="0007384B" w:rsidP="00B36CA2">
            <w:pPr>
              <w:autoSpaceDE w:val="0"/>
              <w:autoSpaceDN w:val="0"/>
              <w:adjustRightInd w:val="0"/>
              <w:jc w:val="right"/>
              <w:rPr>
                <w:sz w:val="18"/>
              </w:rPr>
            </w:pPr>
          </w:p>
        </w:tc>
        <w:tc>
          <w:tcPr>
            <w:tcW w:w="1086" w:type="dxa"/>
            <w:vAlign w:val="center"/>
          </w:tcPr>
          <w:p w:rsidR="0007384B" w:rsidRDefault="0007384B" w:rsidP="00B36CA2">
            <w:pPr>
              <w:autoSpaceDE w:val="0"/>
              <w:autoSpaceDN w:val="0"/>
              <w:adjustRightInd w:val="0"/>
              <w:jc w:val="right"/>
              <w:rPr>
                <w:sz w:val="18"/>
              </w:rPr>
            </w:pPr>
          </w:p>
        </w:tc>
        <w:tc>
          <w:tcPr>
            <w:tcW w:w="408" w:type="dxa"/>
            <w:vAlign w:val="center"/>
          </w:tcPr>
          <w:p w:rsidR="0007384B" w:rsidRDefault="0007384B" w:rsidP="00B36CA2">
            <w:pPr>
              <w:autoSpaceDE w:val="0"/>
              <w:autoSpaceDN w:val="0"/>
              <w:adjustRightInd w:val="0"/>
              <w:jc w:val="center"/>
              <w:rPr>
                <w:sz w:val="18"/>
              </w:rPr>
            </w:pPr>
          </w:p>
        </w:tc>
        <w:tc>
          <w:tcPr>
            <w:tcW w:w="1040" w:type="dxa"/>
            <w:vAlign w:val="center"/>
          </w:tcPr>
          <w:p w:rsidR="0007384B" w:rsidRDefault="0007384B" w:rsidP="00B36CA2">
            <w:pPr>
              <w:autoSpaceDE w:val="0"/>
              <w:autoSpaceDN w:val="0"/>
              <w:adjustRightInd w:val="0"/>
              <w:jc w:val="right"/>
              <w:rPr>
                <w:sz w:val="18"/>
              </w:rPr>
            </w:pPr>
          </w:p>
        </w:tc>
        <w:tc>
          <w:tcPr>
            <w:tcW w:w="543" w:type="dxa"/>
            <w:vAlign w:val="center"/>
          </w:tcPr>
          <w:p w:rsidR="0007384B" w:rsidRDefault="0007384B" w:rsidP="00B36CA2">
            <w:pPr>
              <w:autoSpaceDE w:val="0"/>
              <w:autoSpaceDN w:val="0"/>
              <w:adjustRightInd w:val="0"/>
              <w:jc w:val="center"/>
              <w:rPr>
                <w:sz w:val="18"/>
              </w:rPr>
            </w:pPr>
          </w:p>
        </w:tc>
        <w:tc>
          <w:tcPr>
            <w:tcW w:w="1086"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c>
          <w:tcPr>
            <w:tcW w:w="903"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r>
      <w:tr w:rsidR="0007384B" w:rsidTr="00B36CA2">
        <w:trPr>
          <w:cantSplit/>
          <w:trHeight w:val="340"/>
        </w:trPr>
        <w:tc>
          <w:tcPr>
            <w:tcW w:w="384" w:type="dxa"/>
            <w:vAlign w:val="center"/>
          </w:tcPr>
          <w:p w:rsidR="0007384B" w:rsidRDefault="0007384B" w:rsidP="00B36CA2">
            <w:pPr>
              <w:autoSpaceDE w:val="0"/>
              <w:autoSpaceDN w:val="0"/>
              <w:adjustRightInd w:val="0"/>
              <w:jc w:val="center"/>
              <w:rPr>
                <w:sz w:val="18"/>
              </w:rPr>
            </w:pPr>
            <w:r>
              <w:rPr>
                <w:sz w:val="18"/>
              </w:rPr>
              <w:t>h</w:t>
            </w:r>
          </w:p>
        </w:tc>
        <w:tc>
          <w:tcPr>
            <w:tcW w:w="1969" w:type="dxa"/>
            <w:vAlign w:val="center"/>
          </w:tcPr>
          <w:p w:rsidR="0007384B" w:rsidRDefault="0007384B" w:rsidP="00B36CA2">
            <w:pPr>
              <w:autoSpaceDE w:val="0"/>
              <w:autoSpaceDN w:val="0"/>
              <w:adjustRightInd w:val="0"/>
              <w:rPr>
                <w:sz w:val="18"/>
              </w:rPr>
            </w:pPr>
            <w:r>
              <w:rPr>
                <w:sz w:val="18"/>
              </w:rPr>
              <w:t>Computer in bruikleen</w:t>
            </w:r>
          </w:p>
        </w:tc>
        <w:tc>
          <w:tcPr>
            <w:tcW w:w="1086" w:type="dxa"/>
            <w:vAlign w:val="center"/>
          </w:tcPr>
          <w:p w:rsidR="0007384B" w:rsidRDefault="0007384B" w:rsidP="00B36CA2">
            <w:pPr>
              <w:autoSpaceDE w:val="0"/>
              <w:autoSpaceDN w:val="0"/>
              <w:adjustRightInd w:val="0"/>
              <w:jc w:val="right"/>
              <w:rPr>
                <w:sz w:val="18"/>
              </w:rPr>
            </w:pPr>
            <w:r>
              <w:rPr>
                <w:sz w:val="18"/>
              </w:rPr>
              <w:t>1.000,00</w:t>
            </w:r>
          </w:p>
        </w:tc>
        <w:tc>
          <w:tcPr>
            <w:tcW w:w="1086" w:type="dxa"/>
            <w:vAlign w:val="center"/>
          </w:tcPr>
          <w:p w:rsidR="0007384B" w:rsidRDefault="0007384B" w:rsidP="00B36CA2">
            <w:pPr>
              <w:autoSpaceDE w:val="0"/>
              <w:autoSpaceDN w:val="0"/>
              <w:adjustRightInd w:val="0"/>
              <w:jc w:val="right"/>
              <w:rPr>
                <w:sz w:val="18"/>
              </w:rPr>
            </w:pPr>
          </w:p>
        </w:tc>
        <w:tc>
          <w:tcPr>
            <w:tcW w:w="408" w:type="dxa"/>
            <w:vAlign w:val="center"/>
          </w:tcPr>
          <w:p w:rsidR="0007384B" w:rsidRDefault="0007384B" w:rsidP="00B36CA2">
            <w:pPr>
              <w:autoSpaceDE w:val="0"/>
              <w:autoSpaceDN w:val="0"/>
              <w:adjustRightInd w:val="0"/>
              <w:jc w:val="center"/>
              <w:rPr>
                <w:sz w:val="18"/>
              </w:rPr>
            </w:pPr>
          </w:p>
        </w:tc>
        <w:tc>
          <w:tcPr>
            <w:tcW w:w="1040" w:type="dxa"/>
            <w:vAlign w:val="center"/>
          </w:tcPr>
          <w:p w:rsidR="0007384B" w:rsidRDefault="0007384B" w:rsidP="00B36CA2">
            <w:pPr>
              <w:autoSpaceDE w:val="0"/>
              <w:autoSpaceDN w:val="0"/>
              <w:adjustRightInd w:val="0"/>
              <w:jc w:val="right"/>
              <w:rPr>
                <w:sz w:val="18"/>
              </w:rPr>
            </w:pPr>
          </w:p>
        </w:tc>
        <w:tc>
          <w:tcPr>
            <w:tcW w:w="543" w:type="dxa"/>
            <w:vAlign w:val="center"/>
          </w:tcPr>
          <w:p w:rsidR="0007384B" w:rsidRDefault="0007384B" w:rsidP="00B36CA2">
            <w:pPr>
              <w:autoSpaceDE w:val="0"/>
              <w:autoSpaceDN w:val="0"/>
              <w:adjustRightInd w:val="0"/>
              <w:jc w:val="center"/>
              <w:rPr>
                <w:sz w:val="18"/>
              </w:rPr>
            </w:pPr>
          </w:p>
        </w:tc>
        <w:tc>
          <w:tcPr>
            <w:tcW w:w="1086"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c>
          <w:tcPr>
            <w:tcW w:w="903"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r>
      <w:tr w:rsidR="0007384B" w:rsidTr="00B36CA2">
        <w:trPr>
          <w:cantSplit/>
          <w:trHeight w:val="340"/>
        </w:trPr>
        <w:tc>
          <w:tcPr>
            <w:tcW w:w="384" w:type="dxa"/>
            <w:vAlign w:val="center"/>
          </w:tcPr>
          <w:p w:rsidR="0007384B" w:rsidRDefault="0007384B" w:rsidP="00B36CA2">
            <w:pPr>
              <w:autoSpaceDE w:val="0"/>
              <w:autoSpaceDN w:val="0"/>
              <w:adjustRightInd w:val="0"/>
              <w:jc w:val="center"/>
              <w:rPr>
                <w:sz w:val="18"/>
              </w:rPr>
            </w:pPr>
            <w:r>
              <w:rPr>
                <w:sz w:val="18"/>
              </w:rPr>
              <w:t>i</w:t>
            </w:r>
          </w:p>
        </w:tc>
        <w:tc>
          <w:tcPr>
            <w:tcW w:w="1969" w:type="dxa"/>
            <w:vAlign w:val="center"/>
          </w:tcPr>
          <w:p w:rsidR="0007384B" w:rsidRDefault="0007384B" w:rsidP="00B36CA2">
            <w:pPr>
              <w:autoSpaceDE w:val="0"/>
              <w:autoSpaceDN w:val="0"/>
              <w:adjustRightInd w:val="0"/>
              <w:rPr>
                <w:sz w:val="18"/>
              </w:rPr>
            </w:pPr>
            <w:r>
              <w:rPr>
                <w:sz w:val="18"/>
              </w:rPr>
              <w:t>Inkomensafhankelijke bijdrage Zvw</w:t>
            </w:r>
          </w:p>
        </w:tc>
        <w:tc>
          <w:tcPr>
            <w:tcW w:w="1086" w:type="dxa"/>
            <w:vAlign w:val="center"/>
          </w:tcPr>
          <w:p w:rsidR="0007384B" w:rsidRDefault="0007384B" w:rsidP="00B36CA2">
            <w:pPr>
              <w:autoSpaceDE w:val="0"/>
              <w:autoSpaceDN w:val="0"/>
              <w:adjustRightInd w:val="0"/>
              <w:jc w:val="right"/>
              <w:rPr>
                <w:sz w:val="18"/>
              </w:rPr>
            </w:pPr>
            <w:r>
              <w:rPr>
                <w:sz w:val="18"/>
              </w:rPr>
              <w:t>268,00</w:t>
            </w:r>
          </w:p>
        </w:tc>
        <w:tc>
          <w:tcPr>
            <w:tcW w:w="1086" w:type="dxa"/>
            <w:vAlign w:val="center"/>
          </w:tcPr>
          <w:p w:rsidR="0007384B" w:rsidRDefault="0007384B" w:rsidP="00B36CA2">
            <w:pPr>
              <w:autoSpaceDE w:val="0"/>
              <w:autoSpaceDN w:val="0"/>
              <w:adjustRightInd w:val="0"/>
              <w:jc w:val="right"/>
              <w:rPr>
                <w:sz w:val="18"/>
              </w:rPr>
            </w:pPr>
          </w:p>
        </w:tc>
        <w:tc>
          <w:tcPr>
            <w:tcW w:w="408" w:type="dxa"/>
            <w:vAlign w:val="center"/>
          </w:tcPr>
          <w:p w:rsidR="0007384B" w:rsidRDefault="0007384B" w:rsidP="00B36CA2">
            <w:pPr>
              <w:autoSpaceDE w:val="0"/>
              <w:autoSpaceDN w:val="0"/>
              <w:adjustRightInd w:val="0"/>
              <w:jc w:val="center"/>
              <w:rPr>
                <w:sz w:val="18"/>
              </w:rPr>
            </w:pPr>
          </w:p>
        </w:tc>
        <w:tc>
          <w:tcPr>
            <w:tcW w:w="1040" w:type="dxa"/>
            <w:vAlign w:val="center"/>
          </w:tcPr>
          <w:p w:rsidR="0007384B" w:rsidRDefault="0007384B" w:rsidP="00B36CA2">
            <w:pPr>
              <w:autoSpaceDE w:val="0"/>
              <w:autoSpaceDN w:val="0"/>
              <w:adjustRightInd w:val="0"/>
              <w:jc w:val="right"/>
              <w:rPr>
                <w:sz w:val="18"/>
              </w:rPr>
            </w:pPr>
          </w:p>
        </w:tc>
        <w:tc>
          <w:tcPr>
            <w:tcW w:w="543" w:type="dxa"/>
            <w:vAlign w:val="center"/>
          </w:tcPr>
          <w:p w:rsidR="0007384B" w:rsidRDefault="0007384B" w:rsidP="00B36CA2">
            <w:pPr>
              <w:autoSpaceDE w:val="0"/>
              <w:autoSpaceDN w:val="0"/>
              <w:adjustRightInd w:val="0"/>
              <w:jc w:val="center"/>
              <w:rPr>
                <w:sz w:val="18"/>
              </w:rPr>
            </w:pPr>
          </w:p>
        </w:tc>
        <w:tc>
          <w:tcPr>
            <w:tcW w:w="1086"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c>
          <w:tcPr>
            <w:tcW w:w="903"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r>
      <w:tr w:rsidR="0007384B" w:rsidTr="00B36CA2">
        <w:trPr>
          <w:cantSplit/>
          <w:trHeight w:val="454"/>
        </w:trPr>
        <w:tc>
          <w:tcPr>
            <w:tcW w:w="384" w:type="dxa"/>
            <w:vAlign w:val="center"/>
          </w:tcPr>
          <w:p w:rsidR="0007384B" w:rsidRDefault="0007384B" w:rsidP="00B36CA2">
            <w:pPr>
              <w:autoSpaceDE w:val="0"/>
              <w:autoSpaceDN w:val="0"/>
              <w:adjustRightInd w:val="0"/>
              <w:jc w:val="center"/>
              <w:rPr>
                <w:sz w:val="18"/>
                <w:lang w:val="en-GB"/>
              </w:rPr>
            </w:pPr>
            <w:r>
              <w:rPr>
                <w:sz w:val="18"/>
                <w:lang w:val="en-GB"/>
              </w:rPr>
              <w:t>j</w:t>
            </w:r>
          </w:p>
        </w:tc>
        <w:tc>
          <w:tcPr>
            <w:tcW w:w="1969" w:type="dxa"/>
            <w:vAlign w:val="center"/>
          </w:tcPr>
          <w:p w:rsidR="0007384B" w:rsidRDefault="0007384B" w:rsidP="00B36CA2">
            <w:pPr>
              <w:autoSpaceDE w:val="0"/>
              <w:autoSpaceDN w:val="0"/>
              <w:adjustRightInd w:val="0"/>
              <w:rPr>
                <w:sz w:val="18"/>
              </w:rPr>
            </w:pPr>
            <w:r>
              <w:rPr>
                <w:sz w:val="18"/>
              </w:rPr>
              <w:t>Loonbelasting /premie volksverzekeringen</w:t>
            </w:r>
          </w:p>
        </w:tc>
        <w:tc>
          <w:tcPr>
            <w:tcW w:w="1086" w:type="dxa"/>
            <w:vAlign w:val="center"/>
          </w:tcPr>
          <w:p w:rsidR="0007384B" w:rsidRDefault="0007384B" w:rsidP="00B36CA2">
            <w:pPr>
              <w:autoSpaceDE w:val="0"/>
              <w:autoSpaceDN w:val="0"/>
              <w:adjustRightInd w:val="0"/>
              <w:jc w:val="right"/>
              <w:rPr>
                <w:sz w:val="18"/>
              </w:rPr>
            </w:pPr>
          </w:p>
        </w:tc>
        <w:tc>
          <w:tcPr>
            <w:tcW w:w="1086" w:type="dxa"/>
            <w:vAlign w:val="center"/>
          </w:tcPr>
          <w:p w:rsidR="0007384B" w:rsidRDefault="0007384B" w:rsidP="00B36CA2">
            <w:pPr>
              <w:autoSpaceDE w:val="0"/>
              <w:autoSpaceDN w:val="0"/>
              <w:adjustRightInd w:val="0"/>
              <w:jc w:val="right"/>
              <w:rPr>
                <w:sz w:val="18"/>
              </w:rPr>
            </w:pPr>
          </w:p>
        </w:tc>
        <w:tc>
          <w:tcPr>
            <w:tcW w:w="408" w:type="dxa"/>
            <w:vAlign w:val="center"/>
          </w:tcPr>
          <w:p w:rsidR="0007384B" w:rsidRDefault="0007384B" w:rsidP="00B36CA2">
            <w:pPr>
              <w:autoSpaceDE w:val="0"/>
              <w:autoSpaceDN w:val="0"/>
              <w:adjustRightInd w:val="0"/>
              <w:jc w:val="right"/>
              <w:rPr>
                <w:sz w:val="18"/>
              </w:rPr>
            </w:pPr>
          </w:p>
        </w:tc>
        <w:tc>
          <w:tcPr>
            <w:tcW w:w="1040" w:type="dxa"/>
            <w:vAlign w:val="center"/>
          </w:tcPr>
          <w:p w:rsidR="0007384B" w:rsidRDefault="0007384B" w:rsidP="00B36CA2">
            <w:pPr>
              <w:autoSpaceDE w:val="0"/>
              <w:autoSpaceDN w:val="0"/>
              <w:adjustRightInd w:val="0"/>
              <w:jc w:val="right"/>
              <w:rPr>
                <w:sz w:val="18"/>
              </w:rPr>
            </w:pPr>
          </w:p>
        </w:tc>
        <w:tc>
          <w:tcPr>
            <w:tcW w:w="543" w:type="dxa"/>
            <w:vAlign w:val="center"/>
          </w:tcPr>
          <w:p w:rsidR="0007384B" w:rsidRDefault="0007384B" w:rsidP="00B36CA2">
            <w:pPr>
              <w:autoSpaceDE w:val="0"/>
              <w:autoSpaceDN w:val="0"/>
              <w:adjustRightInd w:val="0"/>
              <w:jc w:val="right"/>
              <w:rPr>
                <w:sz w:val="18"/>
              </w:rPr>
            </w:pPr>
          </w:p>
        </w:tc>
        <w:tc>
          <w:tcPr>
            <w:tcW w:w="1086" w:type="dxa"/>
            <w:vAlign w:val="center"/>
          </w:tcPr>
          <w:p w:rsidR="0007384B" w:rsidRDefault="0007384B" w:rsidP="00B36CA2">
            <w:pPr>
              <w:autoSpaceDE w:val="0"/>
              <w:autoSpaceDN w:val="0"/>
              <w:adjustRightInd w:val="0"/>
              <w:jc w:val="right"/>
              <w:rPr>
                <w:sz w:val="18"/>
              </w:rPr>
            </w:pPr>
          </w:p>
        </w:tc>
        <w:tc>
          <w:tcPr>
            <w:tcW w:w="409" w:type="dxa"/>
            <w:vAlign w:val="center"/>
          </w:tcPr>
          <w:p w:rsidR="0007384B" w:rsidRDefault="0007384B" w:rsidP="00B36CA2">
            <w:pPr>
              <w:autoSpaceDE w:val="0"/>
              <w:autoSpaceDN w:val="0"/>
              <w:adjustRightInd w:val="0"/>
              <w:jc w:val="center"/>
              <w:rPr>
                <w:sz w:val="18"/>
              </w:rPr>
            </w:pPr>
          </w:p>
        </w:tc>
        <w:tc>
          <w:tcPr>
            <w:tcW w:w="903" w:type="dxa"/>
            <w:vAlign w:val="center"/>
          </w:tcPr>
          <w:p w:rsidR="0007384B" w:rsidRDefault="0007384B" w:rsidP="00B36CA2">
            <w:pPr>
              <w:autoSpaceDE w:val="0"/>
              <w:autoSpaceDN w:val="0"/>
              <w:adjustRightInd w:val="0"/>
              <w:jc w:val="right"/>
              <w:rPr>
                <w:sz w:val="18"/>
              </w:rPr>
            </w:pPr>
            <w:r>
              <w:rPr>
                <w:sz w:val="18"/>
              </w:rPr>
              <w:t>1.248,17</w:t>
            </w:r>
          </w:p>
        </w:tc>
        <w:tc>
          <w:tcPr>
            <w:tcW w:w="409" w:type="dxa"/>
            <w:vAlign w:val="center"/>
          </w:tcPr>
          <w:p w:rsidR="0007384B" w:rsidRDefault="0007384B" w:rsidP="00B36CA2">
            <w:pPr>
              <w:autoSpaceDE w:val="0"/>
              <w:autoSpaceDN w:val="0"/>
              <w:adjustRightInd w:val="0"/>
              <w:jc w:val="center"/>
              <w:rPr>
                <w:sz w:val="18"/>
              </w:rPr>
            </w:pPr>
            <w:r>
              <w:rPr>
                <w:sz w:val="18"/>
              </w:rPr>
              <w:t>Af</w:t>
            </w:r>
          </w:p>
        </w:tc>
      </w:tr>
      <w:tr w:rsidR="0007384B" w:rsidTr="00B36CA2">
        <w:trPr>
          <w:cantSplit/>
          <w:trHeight w:val="454"/>
        </w:trPr>
        <w:tc>
          <w:tcPr>
            <w:tcW w:w="384" w:type="dxa"/>
            <w:vAlign w:val="center"/>
          </w:tcPr>
          <w:p w:rsidR="0007384B" w:rsidRDefault="0007384B" w:rsidP="00B36CA2">
            <w:pPr>
              <w:autoSpaceDE w:val="0"/>
              <w:autoSpaceDN w:val="0"/>
              <w:adjustRightInd w:val="0"/>
              <w:jc w:val="center"/>
              <w:rPr>
                <w:sz w:val="18"/>
              </w:rPr>
            </w:pPr>
          </w:p>
        </w:tc>
        <w:tc>
          <w:tcPr>
            <w:tcW w:w="1969" w:type="dxa"/>
            <w:vAlign w:val="center"/>
          </w:tcPr>
          <w:p w:rsidR="0007384B" w:rsidRDefault="0007384B" w:rsidP="00B36CA2">
            <w:pPr>
              <w:autoSpaceDE w:val="0"/>
              <w:autoSpaceDN w:val="0"/>
              <w:adjustRightInd w:val="0"/>
              <w:rPr>
                <w:sz w:val="18"/>
              </w:rPr>
            </w:pPr>
            <w:r>
              <w:rPr>
                <w:sz w:val="18"/>
              </w:rPr>
              <w:t>Totaal bedragen</w:t>
            </w:r>
          </w:p>
          <w:p w:rsidR="0007384B" w:rsidRDefault="0007384B" w:rsidP="00B36CA2">
            <w:pPr>
              <w:autoSpaceDE w:val="0"/>
              <w:autoSpaceDN w:val="0"/>
              <w:adjustRightInd w:val="0"/>
              <w:rPr>
                <w:sz w:val="18"/>
              </w:rPr>
            </w:pPr>
            <w:r>
              <w:rPr>
                <w:sz w:val="18"/>
              </w:rPr>
              <w:t>kolommen A,B,C en D</w:t>
            </w:r>
          </w:p>
        </w:tc>
        <w:tc>
          <w:tcPr>
            <w:tcW w:w="1086" w:type="dxa"/>
            <w:vAlign w:val="center"/>
          </w:tcPr>
          <w:p w:rsidR="0007384B" w:rsidRDefault="0007384B" w:rsidP="00B36CA2">
            <w:pPr>
              <w:autoSpaceDE w:val="0"/>
              <w:autoSpaceDN w:val="0"/>
              <w:adjustRightInd w:val="0"/>
              <w:jc w:val="right"/>
              <w:rPr>
                <w:sz w:val="18"/>
              </w:rPr>
            </w:pPr>
          </w:p>
        </w:tc>
        <w:tc>
          <w:tcPr>
            <w:tcW w:w="1086" w:type="dxa"/>
            <w:vAlign w:val="center"/>
          </w:tcPr>
          <w:p w:rsidR="0007384B" w:rsidRDefault="0007384B" w:rsidP="00B36CA2">
            <w:pPr>
              <w:autoSpaceDE w:val="0"/>
              <w:autoSpaceDN w:val="0"/>
              <w:adjustRightInd w:val="0"/>
              <w:jc w:val="right"/>
              <w:rPr>
                <w:sz w:val="18"/>
              </w:rPr>
            </w:pPr>
            <w:r>
              <w:rPr>
                <w:sz w:val="18"/>
              </w:rPr>
              <w:t>3.974,00</w:t>
            </w:r>
          </w:p>
        </w:tc>
        <w:tc>
          <w:tcPr>
            <w:tcW w:w="408" w:type="dxa"/>
            <w:vAlign w:val="center"/>
          </w:tcPr>
          <w:p w:rsidR="0007384B" w:rsidRDefault="0007384B" w:rsidP="00B36CA2">
            <w:pPr>
              <w:autoSpaceDE w:val="0"/>
              <w:autoSpaceDN w:val="0"/>
              <w:adjustRightInd w:val="0"/>
              <w:jc w:val="right"/>
              <w:rPr>
                <w:sz w:val="18"/>
              </w:rPr>
            </w:pPr>
          </w:p>
        </w:tc>
        <w:tc>
          <w:tcPr>
            <w:tcW w:w="1040" w:type="dxa"/>
            <w:vAlign w:val="center"/>
          </w:tcPr>
          <w:p w:rsidR="0007384B" w:rsidRDefault="0007384B" w:rsidP="00B36CA2">
            <w:pPr>
              <w:autoSpaceDE w:val="0"/>
              <w:autoSpaceDN w:val="0"/>
              <w:adjustRightInd w:val="0"/>
              <w:jc w:val="right"/>
              <w:rPr>
                <w:sz w:val="18"/>
              </w:rPr>
            </w:pPr>
            <w:r>
              <w:rPr>
                <w:sz w:val="18"/>
              </w:rPr>
              <w:t>3.974,00</w:t>
            </w:r>
          </w:p>
        </w:tc>
        <w:tc>
          <w:tcPr>
            <w:tcW w:w="543" w:type="dxa"/>
            <w:vAlign w:val="center"/>
          </w:tcPr>
          <w:p w:rsidR="0007384B" w:rsidRDefault="0007384B" w:rsidP="00B36CA2">
            <w:pPr>
              <w:autoSpaceDE w:val="0"/>
              <w:autoSpaceDN w:val="0"/>
              <w:adjustRightInd w:val="0"/>
              <w:jc w:val="right"/>
              <w:rPr>
                <w:sz w:val="18"/>
              </w:rPr>
            </w:pPr>
          </w:p>
        </w:tc>
        <w:tc>
          <w:tcPr>
            <w:tcW w:w="1086" w:type="dxa"/>
            <w:vAlign w:val="center"/>
          </w:tcPr>
          <w:p w:rsidR="0007384B" w:rsidRDefault="0007384B" w:rsidP="00B36CA2">
            <w:pPr>
              <w:autoSpaceDE w:val="0"/>
              <w:autoSpaceDN w:val="0"/>
              <w:adjustRightInd w:val="0"/>
              <w:jc w:val="right"/>
              <w:rPr>
                <w:sz w:val="18"/>
              </w:rPr>
            </w:pPr>
            <w:r>
              <w:rPr>
                <w:sz w:val="18"/>
              </w:rPr>
              <w:t>3.974,00</w:t>
            </w:r>
          </w:p>
        </w:tc>
        <w:tc>
          <w:tcPr>
            <w:tcW w:w="409" w:type="dxa"/>
            <w:vAlign w:val="center"/>
          </w:tcPr>
          <w:p w:rsidR="0007384B" w:rsidRDefault="0007384B" w:rsidP="00B36CA2">
            <w:pPr>
              <w:autoSpaceDE w:val="0"/>
              <w:autoSpaceDN w:val="0"/>
              <w:adjustRightInd w:val="0"/>
              <w:jc w:val="center"/>
              <w:rPr>
                <w:sz w:val="18"/>
              </w:rPr>
            </w:pPr>
          </w:p>
        </w:tc>
        <w:tc>
          <w:tcPr>
            <w:tcW w:w="903" w:type="dxa"/>
            <w:vAlign w:val="center"/>
          </w:tcPr>
          <w:p w:rsidR="0007384B" w:rsidRDefault="0007384B" w:rsidP="00B36CA2">
            <w:pPr>
              <w:autoSpaceDE w:val="0"/>
              <w:autoSpaceDN w:val="0"/>
              <w:adjustRightInd w:val="0"/>
              <w:jc w:val="right"/>
              <w:rPr>
                <w:sz w:val="18"/>
              </w:rPr>
            </w:pPr>
            <w:r>
              <w:rPr>
                <w:sz w:val="18"/>
              </w:rPr>
              <w:t>1.933,83</w:t>
            </w:r>
          </w:p>
        </w:tc>
        <w:tc>
          <w:tcPr>
            <w:tcW w:w="409" w:type="dxa"/>
            <w:vAlign w:val="center"/>
          </w:tcPr>
          <w:p w:rsidR="0007384B" w:rsidRDefault="0007384B" w:rsidP="00B36CA2">
            <w:pPr>
              <w:autoSpaceDE w:val="0"/>
              <w:autoSpaceDN w:val="0"/>
              <w:adjustRightInd w:val="0"/>
              <w:jc w:val="center"/>
              <w:rPr>
                <w:sz w:val="18"/>
              </w:rPr>
            </w:pPr>
          </w:p>
        </w:tc>
      </w:tr>
      <w:bookmarkEnd w:id="0"/>
      <w:bookmarkEnd w:id="1"/>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25% van € 38.016 = € 9.504. Gedeeld door 12 maanden wordt dit € 792 min de eigen bijdrage van € 198 leidt tot een bijtelling van € 594.</w:t>
      </w:r>
    </w:p>
    <w:p w:rsidR="0007384B" w:rsidRPr="00D824D8" w:rsidRDefault="0007384B" w:rsidP="0007384B">
      <w:pPr>
        <w:autoSpaceDE w:val="0"/>
        <w:autoSpaceDN w:val="0"/>
        <w:adjustRightInd w:val="0"/>
        <w:rPr>
          <w:rFonts w:eastAsia="ArialMT-Identity-H"/>
          <w:szCs w:val="22"/>
        </w:rPr>
      </w:pPr>
      <w:r>
        <w:rPr>
          <w:szCs w:val="22"/>
        </w:rPr>
        <w:t>3.</w:t>
      </w:r>
      <w:r>
        <w:rPr>
          <w:szCs w:val="22"/>
        </w:rPr>
        <w:tab/>
        <w:t xml:space="preserve">Er wordt voldaan aan het noodzakelijkheidscriterium, omdat naar het redelijk oordeel van de </w:t>
      </w:r>
      <w:r>
        <w:rPr>
          <w:szCs w:val="22"/>
        </w:rPr>
        <w:tab/>
        <w:t xml:space="preserve">werkgever de computer nodig is voor een behoorlijke vervulling van de dienstbetrekking. </w:t>
      </w:r>
      <w:r>
        <w:rPr>
          <w:szCs w:val="22"/>
        </w:rPr>
        <w:tab/>
        <w:t xml:space="preserve">Daarom is er sprake van een gerichte vrijstelling. (Als dat niet het geval was geweest, was er </w:t>
      </w:r>
      <w:r>
        <w:rPr>
          <w:szCs w:val="22"/>
        </w:rPr>
        <w:tab/>
        <w:t xml:space="preserve">sprake van loon ter hoogte van de factuurprijs inclusief omzetbelasting. Hierbij is een keuze </w:t>
      </w:r>
      <w:r>
        <w:rPr>
          <w:szCs w:val="22"/>
        </w:rPr>
        <w:tab/>
        <w:t xml:space="preserve">tussen loon werknemer of aanwijzen als eindheffingsloon en zo </w:t>
      </w:r>
      <w:r>
        <w:rPr>
          <w:szCs w:val="22"/>
        </w:rPr>
        <w:tab/>
        <w:t xml:space="preserve">mogelijk onderbrengen in de </w:t>
      </w:r>
      <w:r>
        <w:rPr>
          <w:szCs w:val="22"/>
        </w:rPr>
        <w:tab/>
        <w:t>vrije ruimte.)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eerste verschil betreft de auto. Voor het tabelloon moet € 594 worden bijgeteld, maar voor de berekening van het nettoloon moet de eigen bijdrage van € 198 worden afgetrokken. Het tweede verschil is de </w:t>
      </w:r>
      <w:r w:rsidRPr="00E23835">
        <w:rPr>
          <w:rFonts w:ascii="Times New Roman" w:hAnsi="Times New Roman"/>
          <w:sz w:val="22"/>
          <w:szCs w:val="22"/>
        </w:rPr>
        <w:t xml:space="preserve">aftrekpost van </w:t>
      </w:r>
      <w:r>
        <w:rPr>
          <w:rFonts w:ascii="Times New Roman" w:hAnsi="Times New Roman"/>
          <w:sz w:val="22"/>
          <w:szCs w:val="22"/>
        </w:rPr>
        <w:t>de loonheffing</w:t>
      </w:r>
      <w:r w:rsidRPr="00E23835">
        <w:rPr>
          <w:rFonts w:ascii="Times New Roman" w:hAnsi="Times New Roman"/>
          <w:sz w:val="22"/>
          <w:szCs w:val="22"/>
        </w:rPr>
        <w:t xml:space="preserve"> bij de berekening van het nettoloon.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Premies werknemersverzekeringen worden berekend over € 2.500, want het maximumpremieloon per maand is € 4.396,91 en geen 50% daarvan.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premies worden berekend tot het maximumpremieloon voor de werknemersverzekeringen, te weten € 52.763. Alleen het loonbedrag daarboven is vrijgesteld van premies voor de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3.12</w:t>
      </w:r>
    </w:p>
    <w:p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1575"/>
        <w:gridCol w:w="1560"/>
        <w:gridCol w:w="1417"/>
        <w:gridCol w:w="1276"/>
        <w:gridCol w:w="1276"/>
        <w:gridCol w:w="1417"/>
      </w:tblGrid>
      <w:tr w:rsidR="0007384B" w:rsidTr="00B36CA2">
        <w:tc>
          <w:tcPr>
            <w:tcW w:w="900" w:type="dxa"/>
          </w:tcPr>
          <w:p w:rsidR="0007384B" w:rsidRDefault="0007384B" w:rsidP="00B36CA2">
            <w:pPr>
              <w:rPr>
                <w:b/>
              </w:rPr>
            </w:pPr>
            <w:r>
              <w:rPr>
                <w:b/>
              </w:rPr>
              <w:t>Maand</w:t>
            </w:r>
          </w:p>
        </w:tc>
        <w:tc>
          <w:tcPr>
            <w:tcW w:w="1575" w:type="dxa"/>
          </w:tcPr>
          <w:p w:rsidR="0007384B" w:rsidRDefault="0007384B" w:rsidP="00B36CA2">
            <w:pPr>
              <w:rPr>
                <w:b/>
              </w:rPr>
            </w:pPr>
            <w:r>
              <w:rPr>
                <w:b/>
              </w:rPr>
              <w:t>Loon wn-verzekeringen</w:t>
            </w:r>
          </w:p>
        </w:tc>
        <w:tc>
          <w:tcPr>
            <w:tcW w:w="1560" w:type="dxa"/>
          </w:tcPr>
          <w:p w:rsidR="0007384B" w:rsidRDefault="0007384B" w:rsidP="00B36CA2">
            <w:pPr>
              <w:rPr>
                <w:b/>
              </w:rPr>
            </w:pPr>
            <w:r>
              <w:rPr>
                <w:b/>
              </w:rPr>
              <w:t>Cumulatief loon wn-verzekeringen</w:t>
            </w:r>
          </w:p>
        </w:tc>
        <w:tc>
          <w:tcPr>
            <w:tcW w:w="1417" w:type="dxa"/>
          </w:tcPr>
          <w:p w:rsidR="0007384B" w:rsidRDefault="0007384B" w:rsidP="00B36CA2">
            <w:pPr>
              <w:rPr>
                <w:b/>
              </w:rPr>
            </w:pPr>
            <w:r>
              <w:rPr>
                <w:b/>
              </w:rPr>
              <w:t>Cumulatief maximum premieloon</w:t>
            </w:r>
          </w:p>
        </w:tc>
        <w:tc>
          <w:tcPr>
            <w:tcW w:w="1276" w:type="dxa"/>
          </w:tcPr>
          <w:p w:rsidR="0007384B" w:rsidRDefault="0007384B" w:rsidP="00B36CA2">
            <w:pPr>
              <w:rPr>
                <w:b/>
              </w:rPr>
            </w:pPr>
            <w:r>
              <w:rPr>
                <w:b/>
              </w:rPr>
              <w:t>Cumulatief premieloon</w:t>
            </w:r>
          </w:p>
        </w:tc>
        <w:tc>
          <w:tcPr>
            <w:tcW w:w="1276" w:type="dxa"/>
          </w:tcPr>
          <w:p w:rsidR="0007384B" w:rsidRDefault="0007384B" w:rsidP="00B36CA2">
            <w:pPr>
              <w:rPr>
                <w:b/>
              </w:rPr>
            </w:pPr>
            <w:r>
              <w:rPr>
                <w:b/>
              </w:rPr>
              <w:t>Premieloon per maand</w:t>
            </w:r>
          </w:p>
        </w:tc>
        <w:tc>
          <w:tcPr>
            <w:tcW w:w="1417" w:type="dxa"/>
          </w:tcPr>
          <w:p w:rsidR="0007384B" w:rsidRDefault="0007384B" w:rsidP="00B36CA2">
            <w:pPr>
              <w:rPr>
                <w:b/>
              </w:rPr>
            </w:pPr>
            <w:r>
              <w:rPr>
                <w:b/>
              </w:rPr>
              <w:t>Premie WW-Awf per maand (2,44%)</w:t>
            </w:r>
          </w:p>
        </w:tc>
      </w:tr>
      <w:tr w:rsidR="0007384B" w:rsidTr="00B36CA2">
        <w:trPr>
          <w:trHeight w:val="340"/>
        </w:trPr>
        <w:tc>
          <w:tcPr>
            <w:tcW w:w="900" w:type="dxa"/>
            <w:vAlign w:val="center"/>
          </w:tcPr>
          <w:p w:rsidR="0007384B" w:rsidRDefault="0007384B" w:rsidP="00B36CA2">
            <w:r>
              <w:t>Januari</w:t>
            </w:r>
          </w:p>
        </w:tc>
        <w:tc>
          <w:tcPr>
            <w:tcW w:w="1575" w:type="dxa"/>
            <w:vAlign w:val="center"/>
          </w:tcPr>
          <w:p w:rsidR="0007384B" w:rsidRDefault="0007384B" w:rsidP="00B36CA2">
            <w:r>
              <w:t>4.200,00</w:t>
            </w:r>
          </w:p>
        </w:tc>
        <w:tc>
          <w:tcPr>
            <w:tcW w:w="1560" w:type="dxa"/>
            <w:vAlign w:val="center"/>
          </w:tcPr>
          <w:p w:rsidR="0007384B" w:rsidRDefault="0007384B" w:rsidP="00B36CA2">
            <w:r>
              <w:t>4.200,00</w:t>
            </w:r>
          </w:p>
        </w:tc>
        <w:tc>
          <w:tcPr>
            <w:tcW w:w="1417" w:type="dxa"/>
            <w:vAlign w:val="center"/>
          </w:tcPr>
          <w:p w:rsidR="0007384B" w:rsidRDefault="0007384B" w:rsidP="00B36CA2">
            <w:r>
              <w:t>4.396,91</w:t>
            </w:r>
          </w:p>
        </w:tc>
        <w:tc>
          <w:tcPr>
            <w:tcW w:w="1276" w:type="dxa"/>
            <w:vAlign w:val="center"/>
          </w:tcPr>
          <w:p w:rsidR="0007384B" w:rsidRDefault="0007384B" w:rsidP="00B36CA2">
            <w:r>
              <w:t>4.200,00</w:t>
            </w:r>
          </w:p>
        </w:tc>
        <w:tc>
          <w:tcPr>
            <w:tcW w:w="1276" w:type="dxa"/>
            <w:vAlign w:val="center"/>
          </w:tcPr>
          <w:p w:rsidR="0007384B" w:rsidRDefault="0007384B" w:rsidP="00B36CA2">
            <w:r>
              <w:t>4.200,00</w:t>
            </w:r>
          </w:p>
        </w:tc>
        <w:tc>
          <w:tcPr>
            <w:tcW w:w="1417" w:type="dxa"/>
            <w:vAlign w:val="center"/>
          </w:tcPr>
          <w:p w:rsidR="0007384B" w:rsidRDefault="0007384B" w:rsidP="00B36CA2">
            <w:r>
              <w:t>102,48</w:t>
            </w:r>
          </w:p>
        </w:tc>
      </w:tr>
      <w:tr w:rsidR="0007384B" w:rsidTr="00B36CA2">
        <w:trPr>
          <w:trHeight w:val="340"/>
        </w:trPr>
        <w:tc>
          <w:tcPr>
            <w:tcW w:w="900" w:type="dxa"/>
            <w:vAlign w:val="center"/>
          </w:tcPr>
          <w:p w:rsidR="0007384B" w:rsidRDefault="0007384B" w:rsidP="00B36CA2">
            <w:r>
              <w:t>Februari</w:t>
            </w:r>
          </w:p>
        </w:tc>
        <w:tc>
          <w:tcPr>
            <w:tcW w:w="1575" w:type="dxa"/>
            <w:vAlign w:val="center"/>
          </w:tcPr>
          <w:p w:rsidR="0007384B" w:rsidRDefault="0007384B" w:rsidP="00B36CA2">
            <w:r>
              <w:t>4.400,00</w:t>
            </w:r>
          </w:p>
        </w:tc>
        <w:tc>
          <w:tcPr>
            <w:tcW w:w="1560" w:type="dxa"/>
            <w:vAlign w:val="center"/>
          </w:tcPr>
          <w:p w:rsidR="0007384B" w:rsidRDefault="0007384B" w:rsidP="00B36CA2">
            <w:r>
              <w:t>8.600,00</w:t>
            </w:r>
          </w:p>
        </w:tc>
        <w:tc>
          <w:tcPr>
            <w:tcW w:w="1417" w:type="dxa"/>
            <w:vAlign w:val="center"/>
          </w:tcPr>
          <w:p w:rsidR="0007384B" w:rsidRDefault="0007384B" w:rsidP="00B36CA2">
            <w:r>
              <w:t>8.793,82</w:t>
            </w:r>
          </w:p>
        </w:tc>
        <w:tc>
          <w:tcPr>
            <w:tcW w:w="1276" w:type="dxa"/>
            <w:vAlign w:val="center"/>
          </w:tcPr>
          <w:p w:rsidR="0007384B" w:rsidRDefault="0007384B" w:rsidP="00B36CA2">
            <w:r>
              <w:t>8.600,00</w:t>
            </w:r>
          </w:p>
        </w:tc>
        <w:tc>
          <w:tcPr>
            <w:tcW w:w="1276" w:type="dxa"/>
            <w:vAlign w:val="center"/>
          </w:tcPr>
          <w:p w:rsidR="0007384B" w:rsidRDefault="0007384B" w:rsidP="00B36CA2">
            <w:r>
              <w:t>4.400,00</w:t>
            </w:r>
          </w:p>
        </w:tc>
        <w:tc>
          <w:tcPr>
            <w:tcW w:w="1417" w:type="dxa"/>
            <w:vAlign w:val="center"/>
          </w:tcPr>
          <w:p w:rsidR="0007384B" w:rsidRDefault="0007384B" w:rsidP="00B36CA2">
            <w:r>
              <w:t>107,36</w:t>
            </w:r>
          </w:p>
        </w:tc>
      </w:tr>
      <w:tr w:rsidR="0007384B" w:rsidTr="00B36CA2">
        <w:trPr>
          <w:trHeight w:val="340"/>
        </w:trPr>
        <w:tc>
          <w:tcPr>
            <w:tcW w:w="900" w:type="dxa"/>
            <w:vAlign w:val="center"/>
          </w:tcPr>
          <w:p w:rsidR="0007384B" w:rsidRDefault="0007384B" w:rsidP="00B36CA2">
            <w:r>
              <w:t>Maart</w:t>
            </w:r>
          </w:p>
        </w:tc>
        <w:tc>
          <w:tcPr>
            <w:tcW w:w="1575" w:type="dxa"/>
            <w:vAlign w:val="center"/>
          </w:tcPr>
          <w:p w:rsidR="0007384B" w:rsidRDefault="0007384B" w:rsidP="00B36CA2">
            <w:r>
              <w:t>4.600,00</w:t>
            </w:r>
          </w:p>
        </w:tc>
        <w:tc>
          <w:tcPr>
            <w:tcW w:w="1560" w:type="dxa"/>
            <w:vAlign w:val="center"/>
          </w:tcPr>
          <w:p w:rsidR="0007384B" w:rsidRDefault="0007384B" w:rsidP="00B36CA2">
            <w:r>
              <w:t>13.200,00</w:t>
            </w:r>
          </w:p>
        </w:tc>
        <w:tc>
          <w:tcPr>
            <w:tcW w:w="1417" w:type="dxa"/>
            <w:vAlign w:val="center"/>
          </w:tcPr>
          <w:p w:rsidR="0007384B" w:rsidRDefault="0007384B" w:rsidP="00B36CA2">
            <w:r>
              <w:t>13.190,73</w:t>
            </w:r>
          </w:p>
        </w:tc>
        <w:tc>
          <w:tcPr>
            <w:tcW w:w="1276" w:type="dxa"/>
            <w:vAlign w:val="center"/>
          </w:tcPr>
          <w:p w:rsidR="0007384B" w:rsidRDefault="0007384B" w:rsidP="00B36CA2">
            <w:r>
              <w:t>13.190,73</w:t>
            </w:r>
          </w:p>
        </w:tc>
        <w:tc>
          <w:tcPr>
            <w:tcW w:w="1276" w:type="dxa"/>
            <w:vAlign w:val="center"/>
          </w:tcPr>
          <w:p w:rsidR="0007384B" w:rsidRDefault="0007384B" w:rsidP="00B36CA2">
            <w:r>
              <w:t>4.590,73</w:t>
            </w:r>
          </w:p>
        </w:tc>
        <w:tc>
          <w:tcPr>
            <w:tcW w:w="1417" w:type="dxa"/>
            <w:vAlign w:val="center"/>
          </w:tcPr>
          <w:p w:rsidR="0007384B" w:rsidRDefault="0007384B" w:rsidP="00B36CA2">
            <w:r>
              <w:t>112,01</w:t>
            </w:r>
          </w:p>
        </w:tc>
      </w:tr>
    </w:tbl>
    <w:p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1575"/>
        <w:gridCol w:w="1560"/>
        <w:gridCol w:w="1417"/>
        <w:gridCol w:w="1276"/>
        <w:gridCol w:w="1276"/>
        <w:gridCol w:w="1417"/>
      </w:tblGrid>
      <w:tr w:rsidR="0007384B" w:rsidTr="00B36CA2">
        <w:tc>
          <w:tcPr>
            <w:tcW w:w="900" w:type="dxa"/>
          </w:tcPr>
          <w:p w:rsidR="0007384B" w:rsidRDefault="0007384B" w:rsidP="00B36CA2">
            <w:pPr>
              <w:rPr>
                <w:b/>
              </w:rPr>
            </w:pPr>
            <w:r>
              <w:rPr>
                <w:b/>
              </w:rPr>
              <w:t>Maand</w:t>
            </w:r>
          </w:p>
        </w:tc>
        <w:tc>
          <w:tcPr>
            <w:tcW w:w="1575" w:type="dxa"/>
          </w:tcPr>
          <w:p w:rsidR="0007384B" w:rsidRDefault="0007384B" w:rsidP="00B36CA2">
            <w:pPr>
              <w:rPr>
                <w:b/>
              </w:rPr>
            </w:pPr>
            <w:r>
              <w:rPr>
                <w:b/>
              </w:rPr>
              <w:t>Loon voor de Zvw</w:t>
            </w:r>
          </w:p>
        </w:tc>
        <w:tc>
          <w:tcPr>
            <w:tcW w:w="1560" w:type="dxa"/>
          </w:tcPr>
          <w:p w:rsidR="0007384B" w:rsidRDefault="0007384B" w:rsidP="00B36CA2">
            <w:pPr>
              <w:rPr>
                <w:b/>
              </w:rPr>
            </w:pPr>
            <w:r>
              <w:rPr>
                <w:b/>
              </w:rPr>
              <w:t>Cumulatief loon voor de Zvw</w:t>
            </w:r>
          </w:p>
        </w:tc>
        <w:tc>
          <w:tcPr>
            <w:tcW w:w="1417" w:type="dxa"/>
          </w:tcPr>
          <w:p w:rsidR="0007384B" w:rsidRDefault="0007384B" w:rsidP="00B36CA2">
            <w:pPr>
              <w:rPr>
                <w:b/>
              </w:rPr>
            </w:pPr>
            <w:r>
              <w:rPr>
                <w:b/>
              </w:rPr>
              <w:t>Cumulatief maximum bijdrageloon</w:t>
            </w:r>
          </w:p>
        </w:tc>
        <w:tc>
          <w:tcPr>
            <w:tcW w:w="1276" w:type="dxa"/>
          </w:tcPr>
          <w:p w:rsidR="0007384B" w:rsidRDefault="0007384B" w:rsidP="00B36CA2">
            <w:pPr>
              <w:rPr>
                <w:b/>
              </w:rPr>
            </w:pPr>
            <w:r>
              <w:rPr>
                <w:b/>
              </w:rPr>
              <w:t>Cumulatief bijdrage- loon</w:t>
            </w:r>
          </w:p>
        </w:tc>
        <w:tc>
          <w:tcPr>
            <w:tcW w:w="1276" w:type="dxa"/>
          </w:tcPr>
          <w:p w:rsidR="0007384B" w:rsidRDefault="0007384B" w:rsidP="00B36CA2">
            <w:pPr>
              <w:rPr>
                <w:b/>
              </w:rPr>
            </w:pPr>
            <w:r>
              <w:rPr>
                <w:b/>
              </w:rPr>
              <w:t>Bijdrage-loon per maand</w:t>
            </w:r>
          </w:p>
        </w:tc>
        <w:tc>
          <w:tcPr>
            <w:tcW w:w="1417" w:type="dxa"/>
          </w:tcPr>
          <w:p w:rsidR="0007384B" w:rsidRDefault="0007384B" w:rsidP="00B36CA2">
            <w:pPr>
              <w:rPr>
                <w:b/>
              </w:rPr>
            </w:pPr>
            <w:r>
              <w:rPr>
                <w:b/>
              </w:rPr>
              <w:t>Zvw-bijdrage per maand</w:t>
            </w:r>
          </w:p>
          <w:p w:rsidR="0007384B" w:rsidRDefault="0007384B" w:rsidP="00B36CA2">
            <w:pPr>
              <w:rPr>
                <w:b/>
              </w:rPr>
            </w:pPr>
            <w:r>
              <w:rPr>
                <w:b/>
              </w:rPr>
              <w:t>(6,75%)</w:t>
            </w:r>
          </w:p>
        </w:tc>
      </w:tr>
      <w:tr w:rsidR="0007384B" w:rsidTr="00B36CA2">
        <w:trPr>
          <w:trHeight w:val="340"/>
        </w:trPr>
        <w:tc>
          <w:tcPr>
            <w:tcW w:w="900" w:type="dxa"/>
            <w:vAlign w:val="center"/>
          </w:tcPr>
          <w:p w:rsidR="0007384B" w:rsidRDefault="0007384B" w:rsidP="00B36CA2">
            <w:r>
              <w:t>Januari</w:t>
            </w:r>
          </w:p>
        </w:tc>
        <w:tc>
          <w:tcPr>
            <w:tcW w:w="1575" w:type="dxa"/>
            <w:vAlign w:val="center"/>
          </w:tcPr>
          <w:p w:rsidR="0007384B" w:rsidRDefault="0007384B" w:rsidP="00B36CA2">
            <w:r>
              <w:t>4.200,00</w:t>
            </w:r>
          </w:p>
        </w:tc>
        <w:tc>
          <w:tcPr>
            <w:tcW w:w="1560" w:type="dxa"/>
            <w:vAlign w:val="center"/>
          </w:tcPr>
          <w:p w:rsidR="0007384B" w:rsidRDefault="0007384B" w:rsidP="00B36CA2">
            <w:r>
              <w:t>4.200,00</w:t>
            </w:r>
          </w:p>
        </w:tc>
        <w:tc>
          <w:tcPr>
            <w:tcW w:w="1417" w:type="dxa"/>
            <w:vAlign w:val="center"/>
          </w:tcPr>
          <w:p w:rsidR="0007384B" w:rsidRDefault="0007384B" w:rsidP="00B36CA2">
            <w:r>
              <w:t>4.396,91</w:t>
            </w:r>
          </w:p>
        </w:tc>
        <w:tc>
          <w:tcPr>
            <w:tcW w:w="1276" w:type="dxa"/>
            <w:vAlign w:val="center"/>
          </w:tcPr>
          <w:p w:rsidR="0007384B" w:rsidRDefault="0007384B" w:rsidP="00B36CA2">
            <w:r>
              <w:t>4.200,00</w:t>
            </w:r>
          </w:p>
        </w:tc>
        <w:tc>
          <w:tcPr>
            <w:tcW w:w="1276" w:type="dxa"/>
            <w:vAlign w:val="center"/>
          </w:tcPr>
          <w:p w:rsidR="0007384B" w:rsidRDefault="0007384B" w:rsidP="00B36CA2">
            <w:r>
              <w:t>4.200,00</w:t>
            </w:r>
          </w:p>
        </w:tc>
        <w:tc>
          <w:tcPr>
            <w:tcW w:w="1417" w:type="dxa"/>
            <w:vAlign w:val="center"/>
          </w:tcPr>
          <w:p w:rsidR="0007384B" w:rsidRDefault="0007384B" w:rsidP="00B36CA2">
            <w:r>
              <w:t>283,50</w:t>
            </w:r>
          </w:p>
        </w:tc>
      </w:tr>
      <w:tr w:rsidR="0007384B" w:rsidTr="00B36CA2">
        <w:trPr>
          <w:trHeight w:val="340"/>
        </w:trPr>
        <w:tc>
          <w:tcPr>
            <w:tcW w:w="900" w:type="dxa"/>
            <w:vAlign w:val="center"/>
          </w:tcPr>
          <w:p w:rsidR="0007384B" w:rsidRDefault="0007384B" w:rsidP="00B36CA2">
            <w:r>
              <w:t>Februari</w:t>
            </w:r>
          </w:p>
        </w:tc>
        <w:tc>
          <w:tcPr>
            <w:tcW w:w="1575" w:type="dxa"/>
            <w:vAlign w:val="center"/>
          </w:tcPr>
          <w:p w:rsidR="0007384B" w:rsidRDefault="0007384B" w:rsidP="00B36CA2">
            <w:r>
              <w:t>4.400,00</w:t>
            </w:r>
          </w:p>
        </w:tc>
        <w:tc>
          <w:tcPr>
            <w:tcW w:w="1560" w:type="dxa"/>
            <w:vAlign w:val="center"/>
          </w:tcPr>
          <w:p w:rsidR="0007384B" w:rsidRDefault="0007384B" w:rsidP="00B36CA2">
            <w:r>
              <w:t>8.600,00</w:t>
            </w:r>
          </w:p>
        </w:tc>
        <w:tc>
          <w:tcPr>
            <w:tcW w:w="1417" w:type="dxa"/>
            <w:vAlign w:val="center"/>
          </w:tcPr>
          <w:p w:rsidR="0007384B" w:rsidRDefault="0007384B" w:rsidP="00B36CA2">
            <w:r>
              <w:t>8.793,82</w:t>
            </w:r>
          </w:p>
        </w:tc>
        <w:tc>
          <w:tcPr>
            <w:tcW w:w="1276" w:type="dxa"/>
            <w:vAlign w:val="center"/>
          </w:tcPr>
          <w:p w:rsidR="0007384B" w:rsidRDefault="0007384B" w:rsidP="00B36CA2">
            <w:r>
              <w:t>8.600,00</w:t>
            </w:r>
          </w:p>
        </w:tc>
        <w:tc>
          <w:tcPr>
            <w:tcW w:w="1276" w:type="dxa"/>
            <w:vAlign w:val="center"/>
          </w:tcPr>
          <w:p w:rsidR="0007384B" w:rsidRDefault="0007384B" w:rsidP="00B36CA2">
            <w:r>
              <w:t>4.400,00</w:t>
            </w:r>
          </w:p>
        </w:tc>
        <w:tc>
          <w:tcPr>
            <w:tcW w:w="1417" w:type="dxa"/>
            <w:vAlign w:val="center"/>
          </w:tcPr>
          <w:p w:rsidR="0007384B" w:rsidRDefault="0007384B" w:rsidP="00B36CA2">
            <w:r>
              <w:t>297,00</w:t>
            </w:r>
          </w:p>
        </w:tc>
      </w:tr>
      <w:tr w:rsidR="0007384B" w:rsidTr="00B36CA2">
        <w:trPr>
          <w:trHeight w:val="340"/>
        </w:trPr>
        <w:tc>
          <w:tcPr>
            <w:tcW w:w="900" w:type="dxa"/>
            <w:vAlign w:val="center"/>
          </w:tcPr>
          <w:p w:rsidR="0007384B" w:rsidRDefault="0007384B" w:rsidP="00B36CA2">
            <w:r>
              <w:t>Maart</w:t>
            </w:r>
          </w:p>
        </w:tc>
        <w:tc>
          <w:tcPr>
            <w:tcW w:w="1575" w:type="dxa"/>
            <w:vAlign w:val="center"/>
          </w:tcPr>
          <w:p w:rsidR="0007384B" w:rsidRDefault="0007384B" w:rsidP="00B36CA2">
            <w:r>
              <w:t>4.600,00</w:t>
            </w:r>
          </w:p>
        </w:tc>
        <w:tc>
          <w:tcPr>
            <w:tcW w:w="1560" w:type="dxa"/>
            <w:vAlign w:val="center"/>
          </w:tcPr>
          <w:p w:rsidR="0007384B" w:rsidRDefault="0007384B" w:rsidP="00B36CA2">
            <w:r>
              <w:t>13.200,00</w:t>
            </w:r>
          </w:p>
        </w:tc>
        <w:tc>
          <w:tcPr>
            <w:tcW w:w="1417" w:type="dxa"/>
            <w:vAlign w:val="center"/>
          </w:tcPr>
          <w:p w:rsidR="0007384B" w:rsidRDefault="0007384B" w:rsidP="00B36CA2">
            <w:r>
              <w:t>13.190,73</w:t>
            </w:r>
          </w:p>
        </w:tc>
        <w:tc>
          <w:tcPr>
            <w:tcW w:w="1276" w:type="dxa"/>
            <w:vAlign w:val="center"/>
          </w:tcPr>
          <w:p w:rsidR="0007384B" w:rsidRDefault="0007384B" w:rsidP="00B36CA2">
            <w:r>
              <w:t>13.190,73</w:t>
            </w:r>
          </w:p>
        </w:tc>
        <w:tc>
          <w:tcPr>
            <w:tcW w:w="1276" w:type="dxa"/>
            <w:vAlign w:val="center"/>
          </w:tcPr>
          <w:p w:rsidR="0007384B" w:rsidRDefault="0007384B" w:rsidP="00B36CA2">
            <w:r>
              <w:t>4.590,73</w:t>
            </w:r>
          </w:p>
        </w:tc>
        <w:tc>
          <w:tcPr>
            <w:tcW w:w="1417" w:type="dxa"/>
            <w:vAlign w:val="center"/>
          </w:tcPr>
          <w:p w:rsidR="0007384B" w:rsidRDefault="0007384B" w:rsidP="00B36CA2">
            <w:r>
              <w:t>309,87</w:t>
            </w:r>
          </w:p>
        </w:tc>
      </w:tr>
    </w:tbl>
    <w:p w:rsidR="0007384B" w:rsidRDefault="0007384B" w:rsidP="0007384B">
      <w:pPr>
        <w:numPr>
          <w:ilvl w:val="0"/>
          <w:numId w:val="1"/>
        </w:numPr>
      </w:pPr>
      <w:r>
        <w:tab/>
        <w:t>Berekening loonheffing en verrekende arbeidskorting</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1440"/>
        <w:gridCol w:w="1553"/>
        <w:gridCol w:w="1559"/>
      </w:tblGrid>
      <w:tr w:rsidR="0007384B" w:rsidTr="00B36CA2">
        <w:tc>
          <w:tcPr>
            <w:tcW w:w="900" w:type="dxa"/>
          </w:tcPr>
          <w:p w:rsidR="0007384B" w:rsidRDefault="0007384B" w:rsidP="00B36CA2">
            <w:pPr>
              <w:rPr>
                <w:b/>
              </w:rPr>
            </w:pPr>
            <w:r>
              <w:rPr>
                <w:b/>
              </w:rPr>
              <w:t>Maand</w:t>
            </w:r>
          </w:p>
        </w:tc>
        <w:tc>
          <w:tcPr>
            <w:tcW w:w="1440" w:type="dxa"/>
          </w:tcPr>
          <w:p w:rsidR="0007384B" w:rsidRDefault="0007384B" w:rsidP="00B36CA2">
            <w:pPr>
              <w:rPr>
                <w:b/>
              </w:rPr>
            </w:pPr>
            <w:r>
              <w:rPr>
                <w:b/>
              </w:rPr>
              <w:t>Loon voor de loonbelasting / volksverzeke-ringen</w:t>
            </w:r>
          </w:p>
        </w:tc>
        <w:tc>
          <w:tcPr>
            <w:tcW w:w="1553" w:type="dxa"/>
          </w:tcPr>
          <w:p w:rsidR="0007384B" w:rsidRDefault="0007384B" w:rsidP="00B36CA2">
            <w:pPr>
              <w:rPr>
                <w:b/>
              </w:rPr>
            </w:pPr>
            <w:r>
              <w:rPr>
                <w:b/>
              </w:rPr>
              <w:t>Loonbelasting / premie volksverzeke-ringen</w:t>
            </w:r>
          </w:p>
        </w:tc>
        <w:tc>
          <w:tcPr>
            <w:tcW w:w="1559" w:type="dxa"/>
          </w:tcPr>
          <w:p w:rsidR="0007384B" w:rsidRDefault="0007384B" w:rsidP="00B36CA2">
            <w:pPr>
              <w:rPr>
                <w:b/>
              </w:rPr>
            </w:pPr>
            <w:r>
              <w:rPr>
                <w:b/>
              </w:rPr>
              <w:t>Verrekende arbeidskorting</w:t>
            </w:r>
          </w:p>
        </w:tc>
      </w:tr>
      <w:tr w:rsidR="0007384B" w:rsidTr="00B36CA2">
        <w:trPr>
          <w:trHeight w:val="340"/>
        </w:trPr>
        <w:tc>
          <w:tcPr>
            <w:tcW w:w="900" w:type="dxa"/>
            <w:vAlign w:val="center"/>
          </w:tcPr>
          <w:p w:rsidR="0007384B" w:rsidRDefault="0007384B" w:rsidP="00B36CA2">
            <w:r>
              <w:t>Januari</w:t>
            </w:r>
          </w:p>
        </w:tc>
        <w:tc>
          <w:tcPr>
            <w:tcW w:w="1440" w:type="dxa"/>
            <w:vAlign w:val="center"/>
          </w:tcPr>
          <w:p w:rsidR="0007384B" w:rsidRDefault="0007384B" w:rsidP="00B36CA2">
            <w:r>
              <w:t>4.200,00</w:t>
            </w:r>
          </w:p>
        </w:tc>
        <w:tc>
          <w:tcPr>
            <w:tcW w:w="1553" w:type="dxa"/>
            <w:vAlign w:val="center"/>
          </w:tcPr>
          <w:p w:rsidR="0007384B" w:rsidRDefault="0007384B" w:rsidP="00B36CA2">
            <w:r>
              <w:t>1.358,50</w:t>
            </w:r>
          </w:p>
        </w:tc>
        <w:tc>
          <w:tcPr>
            <w:tcW w:w="1559" w:type="dxa"/>
            <w:vAlign w:val="center"/>
          </w:tcPr>
          <w:p w:rsidR="0007384B" w:rsidRDefault="0007384B" w:rsidP="00B36CA2">
            <w:r>
              <w:t>204,08</w:t>
            </w:r>
          </w:p>
        </w:tc>
      </w:tr>
      <w:tr w:rsidR="0007384B" w:rsidTr="00B36CA2">
        <w:trPr>
          <w:trHeight w:val="340"/>
        </w:trPr>
        <w:tc>
          <w:tcPr>
            <w:tcW w:w="900" w:type="dxa"/>
            <w:vAlign w:val="center"/>
          </w:tcPr>
          <w:p w:rsidR="0007384B" w:rsidRDefault="0007384B" w:rsidP="00B36CA2">
            <w:r>
              <w:t>Februari</w:t>
            </w:r>
          </w:p>
        </w:tc>
        <w:tc>
          <w:tcPr>
            <w:tcW w:w="1440" w:type="dxa"/>
            <w:vAlign w:val="center"/>
          </w:tcPr>
          <w:p w:rsidR="0007384B" w:rsidRDefault="0007384B" w:rsidP="00B36CA2">
            <w:r>
              <w:t>4.400,00</w:t>
            </w:r>
          </w:p>
        </w:tc>
        <w:tc>
          <w:tcPr>
            <w:tcW w:w="1553" w:type="dxa"/>
            <w:vAlign w:val="center"/>
          </w:tcPr>
          <w:p w:rsidR="0007384B" w:rsidRDefault="0007384B" w:rsidP="00B36CA2">
            <w:r>
              <w:t>1.455,58</w:t>
            </w:r>
          </w:p>
        </w:tc>
        <w:tc>
          <w:tcPr>
            <w:tcW w:w="1559" w:type="dxa"/>
            <w:vAlign w:val="center"/>
          </w:tcPr>
          <w:p w:rsidR="0007384B" w:rsidRDefault="0007384B" w:rsidP="00B36CA2">
            <w:r>
              <w:t>196,17</w:t>
            </w:r>
          </w:p>
        </w:tc>
      </w:tr>
      <w:tr w:rsidR="0007384B" w:rsidTr="00B36CA2">
        <w:trPr>
          <w:trHeight w:val="340"/>
        </w:trPr>
        <w:tc>
          <w:tcPr>
            <w:tcW w:w="900" w:type="dxa"/>
            <w:vAlign w:val="center"/>
          </w:tcPr>
          <w:p w:rsidR="0007384B" w:rsidRDefault="0007384B" w:rsidP="00B36CA2">
            <w:r>
              <w:t>Maart</w:t>
            </w:r>
          </w:p>
        </w:tc>
        <w:tc>
          <w:tcPr>
            <w:tcW w:w="1440" w:type="dxa"/>
            <w:vAlign w:val="center"/>
          </w:tcPr>
          <w:p w:rsidR="0007384B" w:rsidRDefault="0007384B" w:rsidP="00B36CA2">
            <w:r>
              <w:t>4.600,00</w:t>
            </w:r>
          </w:p>
        </w:tc>
        <w:tc>
          <w:tcPr>
            <w:tcW w:w="1553" w:type="dxa"/>
            <w:vAlign w:val="center"/>
          </w:tcPr>
          <w:p w:rsidR="0007384B" w:rsidRDefault="0007384B" w:rsidP="00B36CA2">
            <w:r>
              <w:t>1.544,83</w:t>
            </w:r>
          </w:p>
        </w:tc>
        <w:tc>
          <w:tcPr>
            <w:tcW w:w="1559" w:type="dxa"/>
            <w:vAlign w:val="center"/>
          </w:tcPr>
          <w:p w:rsidR="0007384B" w:rsidRDefault="0007384B" w:rsidP="00B36CA2">
            <w:r>
              <w:t>188,08</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Leo v.d. Wolf fulltimer geweest was, moest op grond van art. 25 lid 1 Wet LB 1964 de dagtabel respectievelijk weektabel worden toegepast. Maar omdat hij als parttimer wordt beschouwd, wordt conform art. 6.1 letter c Uitv.reg. LB 2011 de maand juli als loontijdvak beschouwd.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Nu het loon minder bedraagt dan het maximumpremieloon, moet over het volledige loon WW-premie worden ingehouden. De premie WW-Awf bedraagt 2,44% van (€ 900 -/- € 35) = € 21,10. In art. 5.1 Regeling WFSV worden de sectoren genoemd waarin het bedrijfs- en beroepsleven is ingedeeld. Snel en Goed is door de Belastingdienst ondergebracht bij sector 32 (Overig goederenvervoer te land en in de lucht). Hiervoor geldt een premie sectorfonds van 1,48% (tabel 57.13 Loonalmanak). Per maand zal een premie sectorfonds verschuldigd zijn van 1,48% van (€ 900 -/- € 35) = € 12,80.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Ingevolge art. 36 WFSV kennen we de Basispremie WAO/WIA 5,88% (met daarnaast een opslag van 0,5% als bijdrage voor kinderopvang); zie tabel 57.4 Loonalmanak. De basispremie WAO/WIA wordt op grond van art. 36 WFSV elk jaar vastgesteld via een ministeriële regeling. Voor het jaar 2016 is in art. 4 van de Regeling vaststelling premiepercentages werknemersverzekeringen, volksverzekeringen en opslag kinderopvang 2013 het bedoelde percentage bepaald op 5,88%.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Daarnaast kennen we ingevolge art. 38 WFSV de premie WGA-vast en de premie WGA-flex, beide onderdeel van de gedifferentieerde premie Werkhervattingskas (Whk). De beide laatstgenoemde premies zijn van drie factoren afhankelijk: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a. de sectorindeling;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de bedrijfsgrootte op grond van de premieloonsom: klein, middelgroot en groot;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c. voor de middelgrote en grote ondernemingen van de WGA-instroom in het verleden.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Voor de kleine werkgevers zijn de Whk-premies weergegeven in tabel 57.13.1 Loonalmanak. Middelgrote en grote werkgevers krijgen jaarlijks een beschikking van de Belastingdienst, waarin de gedifferentieerde premies vermeld staan. De hoogte van de percentages is gebaseerd op art. 2.5 tot en met 2.13 Besluit WFSV, alwaar UWV gemandateerd wordt om de jaarlijkse premiepercentages vast te stellen.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In art. 2.17 Besluit WFSV wordt voor een kleine startende werkgever de gedifferentieerde premie geregeld. Als Snel en Goed langer werkgever is, wordt óf tabel 57.13.1 Loonalmanak gebruikt of  het bedrijf krijgt een beschikking van de Belastingdienst met daarin het percentage gedifferentieerde premie Whk.</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Ingevolge art. 40 lid 1 letter a WFSV kan een werkgever via een beschikking van de Belastingdienst toestemming krijgen om eigenrisicodrager voor de ZW te worden. Art. 40 lid 9 WFSV geeft aan dat hiertoe de mogelijkheid bestaat per 1 januari, per 1 juli of vanaf het tijdstip waarop men aanvangt werkgever te zijn. Voor Snel en Goed is 15 juli dus de enige mogelijkheid.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Overeenkomstig het bepaalde in art. 2.7 Besluit WFSV betaalt de eigenrisicodrager ZW niet de ZW-flex premie (onderdeel van de gedifferentieerde premie Whk); voor 2016  is het voordeel 0,53%, zie tabel 57.13.1 Loonalmanak voor kleine werkgevers. In 2015 zou de besparing zijn geweest: 0,53% ofwel € 4,58 per maand.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ZW-uitkering voor de zogenoemde ‘gelijkgestelden’ (aannemers van werk, thuiswerkers e.d.); de ZW-uitkering bij ‘nawerking’ (bij ziekte binnen een maand na twee maanden verzekerd te zijn geweest); de ZW-uitkering voor degenen van wie de dienstbetrekking eindigt binnen de periode van 104 weken loondoorbetaling wegens ziekte. Zie art. 63a lid 3 ZW.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vaste werknemers kan wellicht ingaande 2017 het eigen risico worden gedragen, voor flexibele werknemers kan dat in 2016 al. De besparing is de WGA-flexpremie: 0,39% van € 865 = € 3,37 per maand.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Eerst is er een periode van 104 weken loondoorbetalingsplicht op grond van art. 629 BW. Mocht het contract van Leo v.d. Wolf in deze periode eindigen, dan moet Snel en Goed de 104 weken volmaken op grond van het eigenrisicodragerschap Ziektewet. Na de wachttijd van 104 weken breekt er een periode van 10 jaar aan, waarin Snel en Goed het WGA-flex risico overneemt van UWV. Dit op grond van art. 82 WIA en art. 1 Regeling vaststelling periode eigenrisicodragen WGA-uitkeringen. De totale periode vanaf de eerste ziektedag bedraagt dus 12 jaar en eindigt eind oktober 2029.</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Wilma wordt op grond van art. 26b letter b Wet LB 1964 aangemerkt als ‘anonieme werknemer’, zodat het loonbelastingtarief van 52% op het loon van toepassing is; ingevolge het bepaalde in de laatste volzin van art. 26b Wet LB 1964 is dit percentage inclusief premie volksverzekeringen; volgens art. 19 WFSV wordt bij de berekening van de premies werknemersverzekeringen geen rekening gehouden met het maximumpremieloon; in art. 42 lid 6 Zvw wordt aangegeven dat voor de Zvw het maximumbijdrageloon buiten beschouwing blijft.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2016. Dit op grond van de wetsfictie uit art. 30a Wet LB 1964. Vanaf deze datum moet loonheffing afgedragen worden. Het is aan Groot en Goedkoop om de werkelijke ingangsdatum van het dienstverband aan te tonen.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premies werknemersverzekeringen en Zvw-bijdrage kan door de gehanteerde systematiek via de VCR-methode alsnog rekening gehouden worden met het maximumpremieloon en het maximumbijdrageloon. Deze mogelijkheid geldt niet voor de loonheffing. Hier wordt vanaf de 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Premie werknemersverzekeringen en Zvw-bijdrage zijn niet verschuldigd door de gehanteerde systematiek via de VCR-methode. Deze methode gaat er blijkens art. 17 lid 2 en 3 WFSV en art. 42 lid 3 Zvw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onder ten eerste en de leden 3 en 4 WFSV.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de behandeling van de loonheffing wordt een WW-uitkering wel als loon uit vroegere dienstbetrekking gezien, zodat hierop de groene tabel moet worden toegepast.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7.</w:t>
      </w:r>
      <w:r w:rsidRPr="00AA3160">
        <w:rPr>
          <w:rFonts w:ascii="Times New Roman" w:hAnsi="Times New Roman"/>
          <w:sz w:val="22"/>
          <w:szCs w:val="22"/>
        </w:rPr>
        <w:tab/>
        <w:t>Art. 16 lid 2 WFSV.</w:t>
      </w:r>
    </w:p>
    <w:p w:rsidR="0007384B" w:rsidRPr="008725E9" w:rsidRDefault="0007384B" w:rsidP="0007384B">
      <w:pPr>
        <w:pStyle w:val="lid"/>
        <w:spacing w:before="0" w:beforeAutospacing="0" w:after="0" w:afterAutospacing="0"/>
        <w:rPr>
          <w:sz w:val="22"/>
          <w:szCs w:val="22"/>
        </w:rPr>
      </w:pPr>
      <w:r w:rsidRPr="00AA3160">
        <w:rPr>
          <w:sz w:val="22"/>
          <w:szCs w:val="22"/>
        </w:rPr>
        <w:t>8.</w:t>
      </w:r>
      <w:r w:rsidRPr="00AA3160">
        <w:rPr>
          <w:sz w:val="22"/>
          <w:szCs w:val="22"/>
        </w:rPr>
        <w:tab/>
      </w:r>
      <w:r w:rsidRPr="008725E9">
        <w:rPr>
          <w:sz w:val="22"/>
          <w:szCs w:val="22"/>
        </w:rPr>
        <w:t>Op grond van art. 16 lid 2 WFSV behoren niet tot het loon voor de werknemersverzekeringen:</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a. </w:t>
      </w:r>
      <w:r w:rsidRPr="008725E9">
        <w:rPr>
          <w:sz w:val="22"/>
          <w:szCs w:val="22"/>
        </w:rPr>
        <w:t xml:space="preserve">hetgeen uit een vroegere dienstbetrekking als bedoeld in de </w:t>
      </w:r>
      <w:hyperlink r:id="rId5" w:history="1">
        <w:r w:rsidRPr="008725E9">
          <w:rPr>
            <w:rStyle w:val="Hyperlink"/>
            <w:color w:val="auto"/>
            <w:sz w:val="22"/>
            <w:szCs w:val="22"/>
          </w:rPr>
          <w:t>Wet op de loonbelasting 1964</w:t>
        </w:r>
      </w:hyperlink>
      <w:r w:rsidRPr="008725E9">
        <w:rPr>
          <w:sz w:val="22"/>
          <w:szCs w:val="22"/>
        </w:rPr>
        <w:t xml:space="preserve"> wordt genoten met uitzondering van uitkeringen op grond van een werknemersverzekering of wachtgeld als bedoeld in </w:t>
      </w:r>
      <w:hyperlink r:id="rId6" w:history="1">
        <w:r w:rsidRPr="008725E9">
          <w:rPr>
            <w:rStyle w:val="Hyperlink"/>
            <w:color w:val="auto"/>
            <w:sz w:val="22"/>
            <w:szCs w:val="22"/>
          </w:rPr>
          <w:t>artikel 6, vijfde lid, tweede zin, van de Werkloosheidswet</w:t>
        </w:r>
      </w:hyperlink>
      <w:r w:rsidRPr="008725E9">
        <w:rPr>
          <w:sz w:val="22"/>
          <w:szCs w:val="22"/>
        </w:rPr>
        <w:t xml:space="preserve"> en de aanvullingen daarop van degene tot wie de werknemer in dienstbetrekking staat en met uitzondering van toeslagen op grond van de </w:t>
      </w:r>
      <w:hyperlink r:id="rId7" w:history="1">
        <w:r w:rsidRPr="008725E9">
          <w:rPr>
            <w:rStyle w:val="Hyperlink"/>
            <w:color w:val="auto"/>
            <w:sz w:val="22"/>
            <w:szCs w:val="22"/>
          </w:rPr>
          <w:t>Toeslagenwet</w:t>
        </w:r>
      </w:hyperlink>
      <w:r w:rsidRPr="008725E9">
        <w:rPr>
          <w:sz w:val="22"/>
          <w:szCs w:val="22"/>
        </w:rPr>
        <w:t>;</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b. </w:t>
      </w:r>
      <w:r w:rsidRPr="008725E9">
        <w:rPr>
          <w:sz w:val="22"/>
          <w:szCs w:val="22"/>
        </w:rPr>
        <w:t xml:space="preserve">eindheffingsbestanddelen als bedoeld in </w:t>
      </w:r>
      <w:hyperlink r:id="rId8" w:history="1">
        <w:r w:rsidRPr="008725E9">
          <w:rPr>
            <w:rStyle w:val="Hyperlink"/>
            <w:color w:val="auto"/>
            <w:sz w:val="22"/>
            <w:szCs w:val="22"/>
          </w:rPr>
          <w:t>artikel 31, eerste lid, onderdelen b tot en met h, van de Wet op de loonbelasting 1964</w:t>
        </w:r>
      </w:hyperlink>
      <w:r w:rsidRPr="008725E9">
        <w:rPr>
          <w:sz w:val="22"/>
          <w:szCs w:val="22"/>
        </w:rPr>
        <w:t>.</w:t>
      </w:r>
    </w:p>
    <w:p w:rsidR="0007384B" w:rsidRPr="00607473" w:rsidRDefault="0007384B" w:rsidP="0007384B">
      <w:pPr>
        <w:pStyle w:val="Tekstzonderopmaak"/>
        <w:ind w:left="708" w:hanging="708"/>
        <w:rPr>
          <w:rFonts w:ascii="Times New Roman" w:hAnsi="Times New Roman"/>
          <w:sz w:val="22"/>
          <w:szCs w:val="22"/>
          <w:lang w:val="en-US"/>
        </w:rPr>
      </w:pPr>
      <w:r w:rsidRPr="00607473">
        <w:rPr>
          <w:rFonts w:ascii="Times New Roman" w:hAnsi="Times New Roman"/>
          <w:sz w:val="22"/>
          <w:szCs w:val="22"/>
          <w:lang w:val="en-US"/>
        </w:rPr>
        <w:t>9.</w:t>
      </w:r>
      <w:r w:rsidRPr="00607473">
        <w:rPr>
          <w:rFonts w:ascii="Times New Roman" w:hAnsi="Times New Roman"/>
          <w:sz w:val="22"/>
          <w:szCs w:val="22"/>
          <w:lang w:val="en-US"/>
        </w:rPr>
        <w:tab/>
        <w:t>Art. 43 lid 2 letter a Zvw.</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10.</w:t>
      </w:r>
      <w:r w:rsidRPr="00AA3160">
        <w:rPr>
          <w:rFonts w:ascii="Times New Roman" w:hAnsi="Times New Roman"/>
          <w:sz w:val="22"/>
          <w:szCs w:val="22"/>
        </w:rPr>
        <w:tab/>
        <w:t>Loon dat via eindheffing bij de werkgever wordt belast. Het betreft dezelfde eindheffingsbestanddelen die ook zijn uitgezonderd voor de premieheffing werknemersverzekeringen. Zie het antwoord op vraag 8.</w:t>
      </w:r>
    </w:p>
    <w:p w:rsidR="0007384B" w:rsidRPr="00AA3160"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vast salaris 12 x € 5.000 =</w:t>
      </w:r>
      <w:r>
        <w:rPr>
          <w:rFonts w:ascii="Times New Roman" w:hAnsi="Times New Roman"/>
          <w:sz w:val="22"/>
          <w:szCs w:val="22"/>
        </w:rPr>
        <w:tab/>
        <w:t>€ 60.000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xml:space="preserve">- vakantiebijslag 8% van € 60.000 = </w:t>
      </w:r>
      <w:r>
        <w:rPr>
          <w:rFonts w:ascii="Times New Roman" w:hAnsi="Times New Roman"/>
          <w:sz w:val="22"/>
          <w:szCs w:val="22"/>
        </w:rPr>
        <w:tab/>
        <w:t>€ 4.800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gratificatie (2017)</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xml:space="preserve">- levensloop </w:t>
      </w:r>
      <w:r>
        <w:rPr>
          <w:rFonts w:ascii="Times New Roman" w:hAnsi="Times New Roman"/>
          <w:sz w:val="22"/>
          <w:szCs w:val="22"/>
        </w:rPr>
        <w:tab/>
        <w:t>-/- € 200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inkomensafhankelijke bijdrage ZVW</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dienstjubileum</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xml:space="preserve">- dienstreizen 2200 x € 0,10 = </w:t>
      </w:r>
      <w:r>
        <w:rPr>
          <w:rFonts w:ascii="Times New Roman" w:hAnsi="Times New Roman"/>
          <w:sz w:val="22"/>
          <w:szCs w:val="22"/>
        </w:rPr>
        <w:tab/>
        <w:t>€ 220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xml:space="preserve">- overwerk </w:t>
      </w:r>
      <w:r>
        <w:rPr>
          <w:rFonts w:ascii="Times New Roman" w:hAnsi="Times New Roman"/>
          <w:sz w:val="22"/>
          <w:szCs w:val="22"/>
        </w:rPr>
        <w:tab/>
        <w:t>€ 600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dasspeld</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bijscholing</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t>- pensioenpremie</w:t>
      </w:r>
    </w:p>
    <w:p w:rsidR="0007384B" w:rsidRDefault="0007384B" w:rsidP="0007384B">
      <w:pPr>
        <w:pStyle w:val="Tekstzonderopmaak"/>
        <w:tabs>
          <w:tab w:val="right" w:pos="7230"/>
        </w:tabs>
        <w:ind w:left="708" w:hanging="708"/>
        <w:rPr>
          <w:rFonts w:ascii="Times New Roman" w:hAnsi="Times New Roman"/>
          <w:sz w:val="22"/>
          <w:szCs w:val="22"/>
        </w:rPr>
      </w:pPr>
      <w:r>
        <w:rPr>
          <w:rFonts w:ascii="Times New Roman" w:hAnsi="Times New Roman"/>
          <w:sz w:val="22"/>
          <w:szCs w:val="22"/>
        </w:rPr>
        <w:tab/>
        <w:t xml:space="preserve">Totaal </w:t>
      </w:r>
      <w:r>
        <w:rPr>
          <w:rFonts w:ascii="Times New Roman" w:hAnsi="Times New Roman"/>
          <w:sz w:val="22"/>
          <w:szCs w:val="22"/>
        </w:rPr>
        <w:tab/>
        <w:t>€ 65.420</w:t>
      </w:r>
    </w:p>
    <w:p w:rsidR="0007384B" w:rsidRPr="00992DD9"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Nee. Het privé-gebruik van de leaseauto behoort in principe wel tot het loon voor de premieheffing werknemersverzekeringen. In art. 16 lid 2 WFSV wordt namelijk geen uitzondering gemaakt voor de werknemersverzekeringen. Maar het maximumpremieloon werd </w:t>
      </w:r>
      <w:r>
        <w:rPr>
          <w:rFonts w:ascii="Times New Roman" w:hAnsi="Times New Roman"/>
          <w:sz w:val="22"/>
          <w:szCs w:val="22"/>
        </w:rPr>
        <w:lastRenderedPageBreak/>
        <w:t xml:space="preserve">reeds overschreden. Daardoor zijn er geen consequenties. Zie art. </w:t>
      </w:r>
      <w:r w:rsidRPr="00992DD9">
        <w:rPr>
          <w:rFonts w:ascii="Times New Roman" w:hAnsi="Times New Roman"/>
          <w:sz w:val="22"/>
          <w:szCs w:val="22"/>
        </w:rPr>
        <w:t>17 WFSV en art. 6 Regeling vaststelling premiepercentages en het maximumpremieloon werknemers- en volksverzekeringen en de opslag kinderopvangtoeslag 2014</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sidRPr="00992DD9">
        <w:rPr>
          <w:rFonts w:ascii="Times New Roman" w:hAnsi="Times New Roman"/>
          <w:sz w:val="22"/>
          <w:szCs w:val="22"/>
        </w:rPr>
        <w:t>3.</w:t>
      </w:r>
      <w:r w:rsidRPr="00992DD9">
        <w:rPr>
          <w:rFonts w:ascii="Times New Roman" w:hAnsi="Times New Roman"/>
          <w:sz w:val="22"/>
          <w:szCs w:val="22"/>
        </w:rPr>
        <w:tab/>
        <w:t>Nee. Er is wel een bijtelling bij het Zvw-loon (met een percentage van de cataloguswaarde). In</w:t>
      </w:r>
      <w:r>
        <w:rPr>
          <w:rFonts w:ascii="Times New Roman" w:hAnsi="Times New Roman"/>
          <w:sz w:val="22"/>
          <w:szCs w:val="22"/>
        </w:rPr>
        <w:t xml:space="preserve"> art. 43 lid 1 letter a wordt voor de auto van de zaak geen uitzondering gemaakt op het loonbegrip van de loonbelasting. Dit leidt echter niet tot een hogere inkomensafhankelijke bijdrage Zvw. De reden is dat de maximale bijdrage Zvw zoals genoemd in art. 43 lid 2 Zvw reeds wordt ingehouden. Het loon in geld overschrijdt reeds het maximumbijdrageloon van € 52.763 (2016, zie art. 5.2 Regeling Zorgverzekering).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Indien de ter beschikking gestelde auto voor meer dan 500 km per jaar privé wordt gebruikt, moet een percentage van de catalogusprijs worden bijgeteld bij het loon voor de loonheffing. Dit leidt tot een hogere heffing. Zie art. 13bis Wet LB 1964.</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werknemersverzekeringen en voor de inkomensafhankelijke bijdrage Zvw over 2016 (in euro’s)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2863"/>
        <w:gridCol w:w="1839"/>
        <w:gridCol w:w="718"/>
        <w:gridCol w:w="1695"/>
        <w:gridCol w:w="652"/>
      </w:tblGrid>
      <w:tr w:rsidR="0007384B" w:rsidTr="00B36CA2">
        <w:tc>
          <w:tcPr>
            <w:tcW w:w="1134" w:type="dxa"/>
          </w:tcPr>
          <w:p w:rsidR="0007384B" w:rsidRDefault="0007384B" w:rsidP="00B36CA2"/>
        </w:tc>
        <w:tc>
          <w:tcPr>
            <w:tcW w:w="3260" w:type="dxa"/>
          </w:tcPr>
          <w:p w:rsidR="0007384B" w:rsidRDefault="0007384B" w:rsidP="00B36CA2"/>
        </w:tc>
        <w:tc>
          <w:tcPr>
            <w:tcW w:w="1843" w:type="dxa"/>
          </w:tcPr>
          <w:p w:rsidR="0007384B" w:rsidRDefault="0007384B" w:rsidP="00B36CA2">
            <w:pPr>
              <w:rPr>
                <w:b/>
              </w:rPr>
            </w:pPr>
            <w:r>
              <w:rPr>
                <w:b/>
              </w:rPr>
              <w:t>loon voor de werknemersverz.</w:t>
            </w:r>
          </w:p>
        </w:tc>
        <w:tc>
          <w:tcPr>
            <w:tcW w:w="992" w:type="dxa"/>
          </w:tcPr>
          <w:p w:rsidR="0007384B" w:rsidRDefault="0007384B" w:rsidP="00B36CA2">
            <w:pPr>
              <w:rPr>
                <w:b/>
              </w:rPr>
            </w:pPr>
            <w:r>
              <w:rPr>
                <w:b/>
              </w:rPr>
              <w:t>+/-</w:t>
            </w:r>
          </w:p>
        </w:tc>
        <w:tc>
          <w:tcPr>
            <w:tcW w:w="1701" w:type="dxa"/>
          </w:tcPr>
          <w:p w:rsidR="0007384B" w:rsidRDefault="0007384B" w:rsidP="00B36CA2">
            <w:pPr>
              <w:rPr>
                <w:b/>
              </w:rPr>
            </w:pPr>
            <w:r>
              <w:rPr>
                <w:b/>
              </w:rPr>
              <w:t>loon voor de Zorgverzek.wet</w:t>
            </w:r>
          </w:p>
        </w:tc>
        <w:tc>
          <w:tcPr>
            <w:tcW w:w="851" w:type="dxa"/>
          </w:tcPr>
          <w:p w:rsidR="0007384B" w:rsidRDefault="0007384B" w:rsidP="00B36CA2">
            <w:pPr>
              <w:rPr>
                <w:b/>
              </w:rPr>
            </w:pPr>
            <w:r>
              <w:rPr>
                <w:b/>
              </w:rPr>
              <w:t>+/-</w:t>
            </w:r>
          </w:p>
        </w:tc>
      </w:tr>
      <w:tr w:rsidR="0007384B" w:rsidTr="00B36CA2">
        <w:tc>
          <w:tcPr>
            <w:tcW w:w="1134" w:type="dxa"/>
          </w:tcPr>
          <w:p w:rsidR="0007384B" w:rsidRDefault="0007384B" w:rsidP="00B36CA2">
            <w:pPr>
              <w:rPr>
                <w:szCs w:val="22"/>
              </w:rPr>
            </w:pPr>
            <w:r>
              <w:rPr>
                <w:szCs w:val="22"/>
              </w:rPr>
              <w:t>a</w:t>
            </w:r>
          </w:p>
        </w:tc>
        <w:tc>
          <w:tcPr>
            <w:tcW w:w="3260" w:type="dxa"/>
          </w:tcPr>
          <w:p w:rsidR="0007384B" w:rsidRDefault="0007384B" w:rsidP="00B36CA2">
            <w:pPr>
              <w:rPr>
                <w:szCs w:val="22"/>
              </w:rPr>
            </w:pPr>
            <w:r>
              <w:rPr>
                <w:szCs w:val="22"/>
              </w:rPr>
              <w:t>Brutosalaris</w:t>
            </w:r>
          </w:p>
        </w:tc>
        <w:tc>
          <w:tcPr>
            <w:tcW w:w="1843" w:type="dxa"/>
          </w:tcPr>
          <w:p w:rsidR="0007384B" w:rsidRDefault="0007384B" w:rsidP="00B36CA2">
            <w:pPr>
              <w:jc w:val="right"/>
              <w:rPr>
                <w:szCs w:val="22"/>
              </w:rPr>
            </w:pPr>
            <w:r>
              <w:rPr>
                <w:szCs w:val="22"/>
              </w:rPr>
              <w:t xml:space="preserve">  48.000</w:t>
            </w:r>
          </w:p>
        </w:tc>
        <w:tc>
          <w:tcPr>
            <w:tcW w:w="992" w:type="dxa"/>
          </w:tcPr>
          <w:p w:rsidR="0007384B" w:rsidRDefault="0007384B" w:rsidP="00B36CA2">
            <w:pPr>
              <w:rPr>
                <w:szCs w:val="22"/>
              </w:rPr>
            </w:pPr>
            <w:r>
              <w:rPr>
                <w:szCs w:val="22"/>
              </w:rPr>
              <w:t>+</w:t>
            </w:r>
          </w:p>
        </w:tc>
        <w:tc>
          <w:tcPr>
            <w:tcW w:w="1701" w:type="dxa"/>
          </w:tcPr>
          <w:p w:rsidR="0007384B" w:rsidRDefault="0007384B" w:rsidP="00B36CA2">
            <w:pPr>
              <w:jc w:val="right"/>
              <w:rPr>
                <w:szCs w:val="22"/>
              </w:rPr>
            </w:pPr>
            <w:r>
              <w:rPr>
                <w:szCs w:val="22"/>
              </w:rPr>
              <w:t xml:space="preserve">  48.000</w:t>
            </w:r>
          </w:p>
        </w:tc>
        <w:tc>
          <w:tcPr>
            <w:tcW w:w="851" w:type="dxa"/>
          </w:tcPr>
          <w:p w:rsidR="0007384B" w:rsidRDefault="0007384B" w:rsidP="00B36CA2">
            <w:pPr>
              <w:rPr>
                <w:szCs w:val="22"/>
              </w:rPr>
            </w:pPr>
            <w:r>
              <w:rPr>
                <w:szCs w:val="22"/>
              </w:rPr>
              <w:t>+</w:t>
            </w:r>
          </w:p>
        </w:tc>
      </w:tr>
      <w:tr w:rsidR="0007384B" w:rsidTr="00B36CA2">
        <w:tc>
          <w:tcPr>
            <w:tcW w:w="1134" w:type="dxa"/>
          </w:tcPr>
          <w:p w:rsidR="0007384B" w:rsidRDefault="0007384B" w:rsidP="00B36CA2">
            <w:pPr>
              <w:rPr>
                <w:szCs w:val="22"/>
              </w:rPr>
            </w:pPr>
            <w:r>
              <w:rPr>
                <w:szCs w:val="22"/>
              </w:rPr>
              <w:t>b</w:t>
            </w:r>
          </w:p>
        </w:tc>
        <w:tc>
          <w:tcPr>
            <w:tcW w:w="3260" w:type="dxa"/>
          </w:tcPr>
          <w:p w:rsidR="0007384B" w:rsidRDefault="0007384B" w:rsidP="00B36CA2">
            <w:pPr>
              <w:rPr>
                <w:szCs w:val="22"/>
              </w:rPr>
            </w:pPr>
            <w:r>
              <w:rPr>
                <w:szCs w:val="22"/>
              </w:rPr>
              <w:t>Vakantiebijslag</w:t>
            </w:r>
          </w:p>
        </w:tc>
        <w:tc>
          <w:tcPr>
            <w:tcW w:w="1843" w:type="dxa"/>
          </w:tcPr>
          <w:p w:rsidR="0007384B" w:rsidRDefault="0007384B" w:rsidP="00B36CA2">
            <w:pPr>
              <w:jc w:val="right"/>
              <w:rPr>
                <w:szCs w:val="22"/>
              </w:rPr>
            </w:pPr>
            <w:r>
              <w:rPr>
                <w:szCs w:val="22"/>
              </w:rPr>
              <w:t xml:space="preserve">  3.840</w:t>
            </w:r>
          </w:p>
        </w:tc>
        <w:tc>
          <w:tcPr>
            <w:tcW w:w="992" w:type="dxa"/>
          </w:tcPr>
          <w:p w:rsidR="0007384B" w:rsidRDefault="0007384B" w:rsidP="00B36CA2">
            <w:pPr>
              <w:rPr>
                <w:szCs w:val="22"/>
              </w:rPr>
            </w:pPr>
            <w:r>
              <w:rPr>
                <w:szCs w:val="22"/>
              </w:rPr>
              <w:t>+</w:t>
            </w:r>
          </w:p>
        </w:tc>
        <w:tc>
          <w:tcPr>
            <w:tcW w:w="1701" w:type="dxa"/>
          </w:tcPr>
          <w:p w:rsidR="0007384B" w:rsidRDefault="0007384B" w:rsidP="00B36CA2">
            <w:pPr>
              <w:jc w:val="right"/>
              <w:rPr>
                <w:szCs w:val="22"/>
              </w:rPr>
            </w:pPr>
            <w:r>
              <w:rPr>
                <w:szCs w:val="22"/>
              </w:rPr>
              <w:t xml:space="preserve">  3.840</w:t>
            </w:r>
          </w:p>
        </w:tc>
        <w:tc>
          <w:tcPr>
            <w:tcW w:w="851" w:type="dxa"/>
          </w:tcPr>
          <w:p w:rsidR="0007384B" w:rsidRDefault="0007384B" w:rsidP="00B36CA2">
            <w:pPr>
              <w:rPr>
                <w:szCs w:val="22"/>
              </w:rPr>
            </w:pPr>
            <w:r>
              <w:rPr>
                <w:szCs w:val="22"/>
              </w:rPr>
              <w:t>+</w:t>
            </w:r>
          </w:p>
        </w:tc>
      </w:tr>
      <w:tr w:rsidR="0007384B" w:rsidTr="00B36CA2">
        <w:tc>
          <w:tcPr>
            <w:tcW w:w="1134" w:type="dxa"/>
          </w:tcPr>
          <w:p w:rsidR="0007384B" w:rsidRDefault="0007384B" w:rsidP="00B36CA2">
            <w:pPr>
              <w:rPr>
                <w:szCs w:val="22"/>
              </w:rPr>
            </w:pPr>
            <w:r>
              <w:rPr>
                <w:szCs w:val="22"/>
              </w:rPr>
              <w:t>c</w:t>
            </w:r>
          </w:p>
        </w:tc>
        <w:tc>
          <w:tcPr>
            <w:tcW w:w="3260" w:type="dxa"/>
          </w:tcPr>
          <w:p w:rsidR="0007384B" w:rsidRDefault="0007384B" w:rsidP="00B36CA2">
            <w:pPr>
              <w:rPr>
                <w:szCs w:val="22"/>
              </w:rPr>
            </w:pPr>
            <w:r>
              <w:rPr>
                <w:szCs w:val="22"/>
              </w:rPr>
              <w:t>Onregelmatigheidstoeslag</w:t>
            </w:r>
          </w:p>
        </w:tc>
        <w:tc>
          <w:tcPr>
            <w:tcW w:w="1843" w:type="dxa"/>
          </w:tcPr>
          <w:p w:rsidR="0007384B" w:rsidRDefault="0007384B" w:rsidP="00B36CA2">
            <w:pPr>
              <w:jc w:val="right"/>
              <w:rPr>
                <w:szCs w:val="22"/>
              </w:rPr>
            </w:pPr>
            <w:r>
              <w:rPr>
                <w:szCs w:val="22"/>
              </w:rPr>
              <w:t xml:space="preserve">  2.400</w:t>
            </w:r>
          </w:p>
        </w:tc>
        <w:tc>
          <w:tcPr>
            <w:tcW w:w="992" w:type="dxa"/>
          </w:tcPr>
          <w:p w:rsidR="0007384B" w:rsidRDefault="0007384B" w:rsidP="00B36CA2">
            <w:pPr>
              <w:rPr>
                <w:szCs w:val="22"/>
              </w:rPr>
            </w:pPr>
            <w:r>
              <w:rPr>
                <w:szCs w:val="22"/>
              </w:rPr>
              <w:t>+</w:t>
            </w:r>
          </w:p>
        </w:tc>
        <w:tc>
          <w:tcPr>
            <w:tcW w:w="1701" w:type="dxa"/>
          </w:tcPr>
          <w:p w:rsidR="0007384B" w:rsidRDefault="0007384B" w:rsidP="00B36CA2">
            <w:pPr>
              <w:jc w:val="right"/>
              <w:rPr>
                <w:szCs w:val="22"/>
              </w:rPr>
            </w:pPr>
            <w:r>
              <w:rPr>
                <w:szCs w:val="22"/>
              </w:rPr>
              <w:t xml:space="preserve">  2.400</w:t>
            </w:r>
          </w:p>
        </w:tc>
        <w:tc>
          <w:tcPr>
            <w:tcW w:w="851" w:type="dxa"/>
          </w:tcPr>
          <w:p w:rsidR="0007384B" w:rsidRDefault="0007384B" w:rsidP="00B36CA2">
            <w:pPr>
              <w:rPr>
                <w:szCs w:val="22"/>
              </w:rPr>
            </w:pPr>
            <w:r>
              <w:rPr>
                <w:szCs w:val="22"/>
              </w:rPr>
              <w:t>+</w:t>
            </w:r>
          </w:p>
        </w:tc>
      </w:tr>
      <w:tr w:rsidR="0007384B" w:rsidTr="00B36CA2">
        <w:tc>
          <w:tcPr>
            <w:tcW w:w="1134" w:type="dxa"/>
          </w:tcPr>
          <w:p w:rsidR="0007384B" w:rsidRDefault="0007384B" w:rsidP="00B36CA2">
            <w:pPr>
              <w:rPr>
                <w:szCs w:val="22"/>
              </w:rPr>
            </w:pPr>
            <w:r>
              <w:rPr>
                <w:szCs w:val="22"/>
              </w:rPr>
              <w:t>d</w:t>
            </w:r>
          </w:p>
        </w:tc>
        <w:tc>
          <w:tcPr>
            <w:tcW w:w="3260" w:type="dxa"/>
          </w:tcPr>
          <w:p w:rsidR="0007384B" w:rsidRDefault="0007384B" w:rsidP="00B36CA2">
            <w:pPr>
              <w:rPr>
                <w:szCs w:val="22"/>
              </w:rPr>
            </w:pPr>
            <w:r>
              <w:rPr>
                <w:szCs w:val="22"/>
              </w:rPr>
              <w:t>Pensioenpremie</w:t>
            </w:r>
          </w:p>
        </w:tc>
        <w:tc>
          <w:tcPr>
            <w:tcW w:w="1843" w:type="dxa"/>
          </w:tcPr>
          <w:p w:rsidR="0007384B" w:rsidRDefault="0007384B" w:rsidP="00B36CA2">
            <w:pPr>
              <w:jc w:val="right"/>
              <w:rPr>
                <w:szCs w:val="22"/>
              </w:rPr>
            </w:pPr>
            <w:r>
              <w:rPr>
                <w:szCs w:val="22"/>
              </w:rPr>
              <w:t xml:space="preserve">  480</w:t>
            </w:r>
          </w:p>
        </w:tc>
        <w:tc>
          <w:tcPr>
            <w:tcW w:w="992" w:type="dxa"/>
          </w:tcPr>
          <w:p w:rsidR="0007384B" w:rsidRDefault="0007384B" w:rsidP="00B36CA2">
            <w:pPr>
              <w:rPr>
                <w:szCs w:val="22"/>
              </w:rPr>
            </w:pPr>
            <w:r>
              <w:rPr>
                <w:szCs w:val="22"/>
              </w:rPr>
              <w:t>-</w:t>
            </w:r>
          </w:p>
        </w:tc>
        <w:tc>
          <w:tcPr>
            <w:tcW w:w="1701" w:type="dxa"/>
          </w:tcPr>
          <w:p w:rsidR="0007384B" w:rsidRDefault="0007384B" w:rsidP="00B36CA2">
            <w:pPr>
              <w:jc w:val="right"/>
              <w:rPr>
                <w:szCs w:val="22"/>
              </w:rPr>
            </w:pPr>
            <w:r>
              <w:rPr>
                <w:szCs w:val="22"/>
              </w:rPr>
              <w:t xml:space="preserve">  480</w:t>
            </w:r>
          </w:p>
        </w:tc>
        <w:tc>
          <w:tcPr>
            <w:tcW w:w="851" w:type="dxa"/>
          </w:tcPr>
          <w:p w:rsidR="0007384B" w:rsidRDefault="0007384B" w:rsidP="00B36CA2">
            <w:pPr>
              <w:rPr>
                <w:szCs w:val="22"/>
              </w:rPr>
            </w:pPr>
            <w:r>
              <w:rPr>
                <w:szCs w:val="22"/>
              </w:rPr>
              <w:t>-</w:t>
            </w:r>
          </w:p>
        </w:tc>
      </w:tr>
      <w:tr w:rsidR="0007384B" w:rsidTr="00B36CA2">
        <w:tc>
          <w:tcPr>
            <w:tcW w:w="1134" w:type="dxa"/>
          </w:tcPr>
          <w:p w:rsidR="0007384B" w:rsidRDefault="0007384B" w:rsidP="00B36CA2">
            <w:pPr>
              <w:rPr>
                <w:szCs w:val="22"/>
              </w:rPr>
            </w:pPr>
            <w:r>
              <w:rPr>
                <w:szCs w:val="22"/>
              </w:rPr>
              <w:t>e</w:t>
            </w:r>
          </w:p>
        </w:tc>
        <w:tc>
          <w:tcPr>
            <w:tcW w:w="3260" w:type="dxa"/>
          </w:tcPr>
          <w:p w:rsidR="0007384B" w:rsidRDefault="0007384B" w:rsidP="00B36CA2">
            <w:pPr>
              <w:rPr>
                <w:szCs w:val="22"/>
              </w:rPr>
            </w:pPr>
            <w:r>
              <w:rPr>
                <w:szCs w:val="22"/>
              </w:rPr>
              <w:t>Uniformen</w:t>
            </w:r>
          </w:p>
        </w:tc>
        <w:tc>
          <w:tcPr>
            <w:tcW w:w="1843" w:type="dxa"/>
          </w:tcPr>
          <w:p w:rsidR="0007384B" w:rsidRDefault="0007384B" w:rsidP="00B36CA2">
            <w:pPr>
              <w:jc w:val="right"/>
              <w:rPr>
                <w:szCs w:val="22"/>
              </w:rPr>
            </w:pP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p>
        </w:tc>
        <w:tc>
          <w:tcPr>
            <w:tcW w:w="851" w:type="dxa"/>
          </w:tcPr>
          <w:p w:rsidR="0007384B" w:rsidRDefault="0007384B" w:rsidP="00B36CA2">
            <w:pPr>
              <w:rPr>
                <w:szCs w:val="22"/>
              </w:rPr>
            </w:pPr>
          </w:p>
        </w:tc>
      </w:tr>
      <w:tr w:rsidR="0007384B" w:rsidTr="00B36CA2">
        <w:tc>
          <w:tcPr>
            <w:tcW w:w="1134" w:type="dxa"/>
          </w:tcPr>
          <w:p w:rsidR="0007384B" w:rsidRDefault="0007384B" w:rsidP="00B36CA2">
            <w:pPr>
              <w:rPr>
                <w:szCs w:val="22"/>
              </w:rPr>
            </w:pPr>
            <w:r>
              <w:rPr>
                <w:szCs w:val="22"/>
              </w:rPr>
              <w:t>f</w:t>
            </w:r>
          </w:p>
        </w:tc>
        <w:tc>
          <w:tcPr>
            <w:tcW w:w="3260" w:type="dxa"/>
          </w:tcPr>
          <w:p w:rsidR="0007384B" w:rsidRDefault="0007384B" w:rsidP="00B36CA2">
            <w:pPr>
              <w:rPr>
                <w:szCs w:val="22"/>
              </w:rPr>
            </w:pPr>
            <w:r>
              <w:rPr>
                <w:szCs w:val="22"/>
              </w:rPr>
              <w:t>kosten stomen uniformen</w:t>
            </w:r>
          </w:p>
        </w:tc>
        <w:tc>
          <w:tcPr>
            <w:tcW w:w="1843" w:type="dxa"/>
          </w:tcPr>
          <w:p w:rsidR="0007384B" w:rsidRDefault="0007384B" w:rsidP="00B36CA2">
            <w:pPr>
              <w:jc w:val="right"/>
              <w:rPr>
                <w:szCs w:val="22"/>
              </w:rPr>
            </w:pP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p>
        </w:tc>
        <w:tc>
          <w:tcPr>
            <w:tcW w:w="851" w:type="dxa"/>
          </w:tcPr>
          <w:p w:rsidR="0007384B" w:rsidRDefault="0007384B" w:rsidP="00B36CA2">
            <w:pPr>
              <w:rPr>
                <w:szCs w:val="22"/>
              </w:rPr>
            </w:pPr>
          </w:p>
        </w:tc>
      </w:tr>
      <w:tr w:rsidR="0007384B" w:rsidTr="00B36CA2">
        <w:tc>
          <w:tcPr>
            <w:tcW w:w="1134" w:type="dxa"/>
          </w:tcPr>
          <w:p w:rsidR="0007384B" w:rsidRDefault="0007384B" w:rsidP="00B36CA2">
            <w:pPr>
              <w:rPr>
                <w:szCs w:val="22"/>
              </w:rPr>
            </w:pPr>
            <w:r>
              <w:rPr>
                <w:szCs w:val="22"/>
              </w:rPr>
              <w:t>g</w:t>
            </w:r>
          </w:p>
        </w:tc>
        <w:tc>
          <w:tcPr>
            <w:tcW w:w="3260" w:type="dxa"/>
          </w:tcPr>
          <w:p w:rsidR="0007384B" w:rsidRDefault="0007384B" w:rsidP="00B36CA2">
            <w:pPr>
              <w:rPr>
                <w:szCs w:val="22"/>
              </w:rPr>
            </w:pPr>
            <w:r>
              <w:rPr>
                <w:szCs w:val="22"/>
              </w:rPr>
              <w:t>Sinterklaas</w:t>
            </w:r>
          </w:p>
        </w:tc>
        <w:tc>
          <w:tcPr>
            <w:tcW w:w="1843" w:type="dxa"/>
          </w:tcPr>
          <w:p w:rsidR="0007384B" w:rsidRDefault="0007384B" w:rsidP="00B36CA2">
            <w:pPr>
              <w:jc w:val="right"/>
              <w:rPr>
                <w:szCs w:val="22"/>
              </w:rPr>
            </w:pP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p>
        </w:tc>
        <w:tc>
          <w:tcPr>
            <w:tcW w:w="851" w:type="dxa"/>
          </w:tcPr>
          <w:p w:rsidR="0007384B" w:rsidRDefault="0007384B" w:rsidP="00B36CA2">
            <w:pPr>
              <w:rPr>
                <w:szCs w:val="22"/>
              </w:rPr>
            </w:pPr>
          </w:p>
        </w:tc>
      </w:tr>
      <w:tr w:rsidR="0007384B" w:rsidTr="00B36CA2">
        <w:tc>
          <w:tcPr>
            <w:tcW w:w="1134" w:type="dxa"/>
          </w:tcPr>
          <w:p w:rsidR="0007384B" w:rsidRDefault="0007384B" w:rsidP="00B36CA2">
            <w:pPr>
              <w:rPr>
                <w:szCs w:val="22"/>
              </w:rPr>
            </w:pPr>
            <w:r>
              <w:rPr>
                <w:szCs w:val="22"/>
              </w:rPr>
              <w:t>h</w:t>
            </w:r>
          </w:p>
        </w:tc>
        <w:tc>
          <w:tcPr>
            <w:tcW w:w="3260" w:type="dxa"/>
          </w:tcPr>
          <w:p w:rsidR="0007384B" w:rsidRDefault="0007384B" w:rsidP="00B36CA2">
            <w:pPr>
              <w:rPr>
                <w:szCs w:val="22"/>
              </w:rPr>
            </w:pPr>
            <w:r>
              <w:rPr>
                <w:szCs w:val="22"/>
              </w:rPr>
              <w:t>Levensloop</w:t>
            </w:r>
          </w:p>
        </w:tc>
        <w:tc>
          <w:tcPr>
            <w:tcW w:w="1843" w:type="dxa"/>
          </w:tcPr>
          <w:p w:rsidR="0007384B" w:rsidRDefault="0007384B" w:rsidP="00B36CA2">
            <w:pPr>
              <w:jc w:val="right"/>
              <w:rPr>
                <w:szCs w:val="22"/>
              </w:rPr>
            </w:pPr>
            <w:r>
              <w:rPr>
                <w:szCs w:val="22"/>
              </w:rPr>
              <w:t>900</w:t>
            </w:r>
          </w:p>
        </w:tc>
        <w:tc>
          <w:tcPr>
            <w:tcW w:w="992" w:type="dxa"/>
          </w:tcPr>
          <w:p w:rsidR="0007384B" w:rsidRDefault="0007384B" w:rsidP="00B36CA2">
            <w:pPr>
              <w:rPr>
                <w:szCs w:val="22"/>
              </w:rPr>
            </w:pPr>
            <w:r>
              <w:rPr>
                <w:szCs w:val="22"/>
              </w:rPr>
              <w:t>-</w:t>
            </w:r>
          </w:p>
        </w:tc>
        <w:tc>
          <w:tcPr>
            <w:tcW w:w="1701" w:type="dxa"/>
          </w:tcPr>
          <w:p w:rsidR="0007384B" w:rsidRDefault="0007384B" w:rsidP="00B36CA2">
            <w:pPr>
              <w:jc w:val="right"/>
              <w:rPr>
                <w:szCs w:val="22"/>
              </w:rPr>
            </w:pPr>
            <w:r>
              <w:rPr>
                <w:szCs w:val="22"/>
              </w:rPr>
              <w:t xml:space="preserve">  900</w:t>
            </w:r>
          </w:p>
        </w:tc>
        <w:tc>
          <w:tcPr>
            <w:tcW w:w="851" w:type="dxa"/>
          </w:tcPr>
          <w:p w:rsidR="0007384B" w:rsidRDefault="0007384B" w:rsidP="00B36CA2">
            <w:pPr>
              <w:rPr>
                <w:szCs w:val="22"/>
              </w:rPr>
            </w:pPr>
            <w:r>
              <w:rPr>
                <w:szCs w:val="22"/>
              </w:rPr>
              <w:t>-</w:t>
            </w:r>
          </w:p>
        </w:tc>
      </w:tr>
      <w:tr w:rsidR="0007384B" w:rsidTr="00B36CA2">
        <w:tc>
          <w:tcPr>
            <w:tcW w:w="1134" w:type="dxa"/>
          </w:tcPr>
          <w:p w:rsidR="0007384B" w:rsidRDefault="0007384B" w:rsidP="00B36CA2">
            <w:pPr>
              <w:rPr>
                <w:szCs w:val="22"/>
              </w:rPr>
            </w:pPr>
            <w:r>
              <w:rPr>
                <w:szCs w:val="22"/>
              </w:rPr>
              <w:t>i</w:t>
            </w:r>
          </w:p>
        </w:tc>
        <w:tc>
          <w:tcPr>
            <w:tcW w:w="3260" w:type="dxa"/>
          </w:tcPr>
          <w:p w:rsidR="0007384B" w:rsidRDefault="0007384B" w:rsidP="00B36CA2">
            <w:pPr>
              <w:rPr>
                <w:szCs w:val="22"/>
              </w:rPr>
            </w:pPr>
            <w:r>
              <w:rPr>
                <w:szCs w:val="22"/>
              </w:rPr>
              <w:t>WAO/WIA</w:t>
            </w:r>
          </w:p>
        </w:tc>
        <w:tc>
          <w:tcPr>
            <w:tcW w:w="1843" w:type="dxa"/>
          </w:tcPr>
          <w:p w:rsidR="0007384B" w:rsidRDefault="0007384B" w:rsidP="00B36CA2">
            <w:pPr>
              <w:jc w:val="right"/>
              <w:rPr>
                <w:szCs w:val="22"/>
              </w:rPr>
            </w:pP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p>
        </w:tc>
        <w:tc>
          <w:tcPr>
            <w:tcW w:w="851" w:type="dxa"/>
          </w:tcPr>
          <w:p w:rsidR="0007384B" w:rsidRDefault="0007384B" w:rsidP="00B36CA2">
            <w:pPr>
              <w:rPr>
                <w:szCs w:val="22"/>
              </w:rPr>
            </w:pPr>
          </w:p>
        </w:tc>
      </w:tr>
      <w:tr w:rsidR="0007384B" w:rsidTr="00B36CA2">
        <w:tc>
          <w:tcPr>
            <w:tcW w:w="1134" w:type="dxa"/>
          </w:tcPr>
          <w:p w:rsidR="0007384B" w:rsidRDefault="0007384B" w:rsidP="00B36CA2">
            <w:pPr>
              <w:rPr>
                <w:szCs w:val="22"/>
              </w:rPr>
            </w:pPr>
            <w:r>
              <w:rPr>
                <w:szCs w:val="22"/>
              </w:rPr>
              <w:t>j</w:t>
            </w:r>
          </w:p>
        </w:tc>
        <w:tc>
          <w:tcPr>
            <w:tcW w:w="3260" w:type="dxa"/>
          </w:tcPr>
          <w:p w:rsidR="0007384B" w:rsidRDefault="0007384B" w:rsidP="00B36CA2">
            <w:pPr>
              <w:rPr>
                <w:szCs w:val="22"/>
              </w:rPr>
            </w:pPr>
            <w:r>
              <w:rPr>
                <w:szCs w:val="22"/>
              </w:rPr>
              <w:t>werkgeversdeel WW-premie</w:t>
            </w:r>
          </w:p>
        </w:tc>
        <w:tc>
          <w:tcPr>
            <w:tcW w:w="1843" w:type="dxa"/>
          </w:tcPr>
          <w:p w:rsidR="0007384B" w:rsidRDefault="0007384B" w:rsidP="00B36CA2">
            <w:pPr>
              <w:jc w:val="right"/>
              <w:rPr>
                <w:szCs w:val="22"/>
              </w:rPr>
            </w:pP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p>
        </w:tc>
        <w:tc>
          <w:tcPr>
            <w:tcW w:w="851" w:type="dxa"/>
          </w:tcPr>
          <w:p w:rsidR="0007384B" w:rsidRDefault="0007384B" w:rsidP="00B36CA2">
            <w:pPr>
              <w:rPr>
                <w:szCs w:val="22"/>
              </w:rPr>
            </w:pPr>
          </w:p>
        </w:tc>
      </w:tr>
      <w:tr w:rsidR="0007384B" w:rsidTr="00B36CA2">
        <w:tc>
          <w:tcPr>
            <w:tcW w:w="1134" w:type="dxa"/>
          </w:tcPr>
          <w:p w:rsidR="0007384B" w:rsidRDefault="0007384B" w:rsidP="00B36CA2">
            <w:pPr>
              <w:rPr>
                <w:szCs w:val="22"/>
              </w:rPr>
            </w:pPr>
          </w:p>
        </w:tc>
        <w:tc>
          <w:tcPr>
            <w:tcW w:w="3260" w:type="dxa"/>
          </w:tcPr>
          <w:p w:rsidR="0007384B" w:rsidRDefault="0007384B" w:rsidP="00B36CA2">
            <w:pPr>
              <w:rPr>
                <w:szCs w:val="22"/>
              </w:rPr>
            </w:pPr>
            <w:r>
              <w:rPr>
                <w:szCs w:val="22"/>
              </w:rPr>
              <w:t>Totaal</w:t>
            </w:r>
          </w:p>
        </w:tc>
        <w:tc>
          <w:tcPr>
            <w:tcW w:w="1843" w:type="dxa"/>
          </w:tcPr>
          <w:p w:rsidR="0007384B" w:rsidRDefault="0007384B" w:rsidP="00B36CA2">
            <w:pPr>
              <w:jc w:val="right"/>
              <w:rPr>
                <w:szCs w:val="22"/>
              </w:rPr>
            </w:pPr>
            <w:r>
              <w:rPr>
                <w:szCs w:val="22"/>
              </w:rPr>
              <w:t xml:space="preserve">  52.860</w:t>
            </w:r>
          </w:p>
        </w:tc>
        <w:tc>
          <w:tcPr>
            <w:tcW w:w="992" w:type="dxa"/>
          </w:tcPr>
          <w:p w:rsidR="0007384B" w:rsidRDefault="0007384B" w:rsidP="00B36CA2">
            <w:pPr>
              <w:rPr>
                <w:szCs w:val="22"/>
              </w:rPr>
            </w:pPr>
          </w:p>
        </w:tc>
        <w:tc>
          <w:tcPr>
            <w:tcW w:w="1701" w:type="dxa"/>
          </w:tcPr>
          <w:p w:rsidR="0007384B" w:rsidRDefault="0007384B" w:rsidP="00B36CA2">
            <w:pPr>
              <w:jc w:val="right"/>
              <w:rPr>
                <w:szCs w:val="22"/>
              </w:rPr>
            </w:pPr>
            <w:r>
              <w:rPr>
                <w:szCs w:val="22"/>
              </w:rPr>
              <w:t xml:space="preserve">  52.860</w:t>
            </w:r>
          </w:p>
        </w:tc>
        <w:tc>
          <w:tcPr>
            <w:tcW w:w="851" w:type="dxa"/>
          </w:tcPr>
          <w:p w:rsidR="0007384B" w:rsidRDefault="0007384B" w:rsidP="00B36CA2">
            <w:pPr>
              <w:rPr>
                <w:szCs w:val="22"/>
              </w:rPr>
            </w:pPr>
          </w:p>
        </w:tc>
      </w:tr>
    </w:tbl>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Inkomensafhankelijke bijdrage wordt niet berekend over het berekende bedrag van € 52.860 maar over het </w:t>
      </w:r>
      <w:r w:rsidRPr="00386557">
        <w:rPr>
          <w:rFonts w:ascii="Times New Roman" w:hAnsi="Times New Roman"/>
          <w:sz w:val="22"/>
          <w:szCs w:val="22"/>
        </w:rPr>
        <w:t xml:space="preserve">maximumbijdrageloon van € </w:t>
      </w:r>
      <w:r>
        <w:rPr>
          <w:rFonts w:ascii="Times New Roman" w:hAnsi="Times New Roman"/>
          <w:sz w:val="22"/>
          <w:szCs w:val="22"/>
        </w:rPr>
        <w:t>52.763 (2016</w:t>
      </w:r>
      <w:r w:rsidRPr="00386557">
        <w:rPr>
          <w:rFonts w:ascii="Times New Roman" w:hAnsi="Times New Roman"/>
          <w:sz w:val="22"/>
          <w:szCs w:val="22"/>
        </w:rPr>
        <w:t>). De maximale heffingsgrondslag is geregeld in art. 42 Zvw en uitgewerkt in art. 5.</w:t>
      </w:r>
      <w:r>
        <w:rPr>
          <w:rFonts w:ascii="Times New Roman" w:hAnsi="Times New Roman"/>
          <w:sz w:val="22"/>
          <w:szCs w:val="22"/>
        </w:rPr>
        <w:t>2</w:t>
      </w:r>
      <w:r w:rsidRPr="00386557">
        <w:rPr>
          <w:rFonts w:ascii="Times New Roman" w:hAnsi="Times New Roman"/>
          <w:sz w:val="22"/>
          <w:szCs w:val="22"/>
        </w:rPr>
        <w:t xml:space="preserve"> Regeling zorgverzekering</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Letter e. Voor de loonheffingen geldt een uniform loonbegrip met als uitgangspunt het loon voor de loonbelasting / premies volksverzekeringen. Ter beschikking gestelde werkkleding, waaronder ook het uniform wordt verstaan, wordt blijkens art. 3.7 lid 1 letter c Uitv.reg. LB 2011 op nihil gewaardeerd. Art. 16 WFSV maakt hierop voor de werknemersverzekeringen geen uitzondering. Gevolg is dat de werkkleding ook vrijgesteld is voor de premies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Letter g. Voor de loonheffingen geldt een uniform loonbegrip met als uitgangspunt het loon voor de loonbelasting / 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verbod deze premie op deze werknemer te verhalen. De vindplaats is art. 20 WFSV.</w:t>
      </w:r>
    </w:p>
    <w:p w:rsidR="0007384B" w:rsidRDefault="0007384B" w:rsidP="0007384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Gegevens Jan de Wieder (in euro’s)</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276"/>
        <w:gridCol w:w="1276"/>
        <w:gridCol w:w="1134"/>
        <w:gridCol w:w="1842"/>
        <w:gridCol w:w="1843"/>
      </w:tblGrid>
      <w:tr w:rsidR="0007384B" w:rsidTr="00B36CA2">
        <w:trPr>
          <w:trHeight w:val="340"/>
        </w:trPr>
        <w:tc>
          <w:tcPr>
            <w:tcW w:w="1134" w:type="dxa"/>
          </w:tcPr>
          <w:p w:rsidR="0007384B" w:rsidRDefault="0007384B" w:rsidP="00B36CA2">
            <w:pPr>
              <w:rPr>
                <w:b/>
                <w:sz w:val="18"/>
                <w:szCs w:val="18"/>
              </w:rPr>
            </w:pPr>
            <w:r>
              <w:rPr>
                <w:b/>
                <w:sz w:val="18"/>
                <w:szCs w:val="18"/>
              </w:rPr>
              <w:t>Maand</w:t>
            </w:r>
          </w:p>
        </w:tc>
        <w:tc>
          <w:tcPr>
            <w:tcW w:w="1134" w:type="dxa"/>
          </w:tcPr>
          <w:p w:rsidR="0007384B" w:rsidRDefault="0007384B" w:rsidP="00B36CA2">
            <w:pPr>
              <w:rPr>
                <w:b/>
                <w:sz w:val="18"/>
                <w:szCs w:val="18"/>
              </w:rPr>
            </w:pPr>
            <w:r>
              <w:rPr>
                <w:b/>
                <w:sz w:val="18"/>
                <w:szCs w:val="18"/>
              </w:rPr>
              <w:t>Loon</w:t>
            </w:r>
          </w:p>
        </w:tc>
        <w:tc>
          <w:tcPr>
            <w:tcW w:w="1276" w:type="dxa"/>
          </w:tcPr>
          <w:p w:rsidR="0007384B" w:rsidRDefault="0007384B" w:rsidP="00B36CA2">
            <w:pPr>
              <w:rPr>
                <w:b/>
                <w:sz w:val="18"/>
                <w:szCs w:val="18"/>
              </w:rPr>
            </w:pPr>
            <w:r>
              <w:rPr>
                <w:b/>
                <w:sz w:val="18"/>
                <w:szCs w:val="18"/>
              </w:rPr>
              <w:t>Loon cumulatief</w:t>
            </w:r>
          </w:p>
        </w:tc>
        <w:tc>
          <w:tcPr>
            <w:tcW w:w="1276" w:type="dxa"/>
          </w:tcPr>
          <w:p w:rsidR="0007384B" w:rsidRDefault="0007384B" w:rsidP="00B36CA2">
            <w:pPr>
              <w:rPr>
                <w:b/>
                <w:sz w:val="18"/>
                <w:szCs w:val="18"/>
              </w:rPr>
            </w:pPr>
            <w:r>
              <w:rPr>
                <w:b/>
                <w:sz w:val="18"/>
                <w:szCs w:val="18"/>
              </w:rPr>
              <w:t>Max cum</w:t>
            </w:r>
          </w:p>
        </w:tc>
        <w:tc>
          <w:tcPr>
            <w:tcW w:w="1134" w:type="dxa"/>
          </w:tcPr>
          <w:p w:rsidR="0007384B" w:rsidRDefault="0007384B" w:rsidP="00B36CA2">
            <w:pPr>
              <w:rPr>
                <w:b/>
                <w:sz w:val="18"/>
                <w:szCs w:val="18"/>
              </w:rPr>
            </w:pPr>
            <w:r>
              <w:rPr>
                <w:b/>
                <w:sz w:val="18"/>
                <w:szCs w:val="18"/>
              </w:rPr>
              <w:t>Als B&gt;C dan C anders B</w:t>
            </w:r>
          </w:p>
        </w:tc>
        <w:tc>
          <w:tcPr>
            <w:tcW w:w="1842" w:type="dxa"/>
          </w:tcPr>
          <w:p w:rsidR="0007384B" w:rsidRDefault="0007384B" w:rsidP="00B36CA2">
            <w:pPr>
              <w:rPr>
                <w:b/>
                <w:sz w:val="18"/>
                <w:szCs w:val="18"/>
              </w:rPr>
            </w:pPr>
            <w:r>
              <w:rPr>
                <w:b/>
                <w:sz w:val="18"/>
                <w:szCs w:val="18"/>
              </w:rPr>
              <w:t>Bijdrageloon per maand</w:t>
            </w:r>
          </w:p>
        </w:tc>
        <w:tc>
          <w:tcPr>
            <w:tcW w:w="1843" w:type="dxa"/>
          </w:tcPr>
          <w:p w:rsidR="0007384B" w:rsidRDefault="0007384B" w:rsidP="00B36CA2">
            <w:pPr>
              <w:rPr>
                <w:b/>
                <w:sz w:val="18"/>
                <w:szCs w:val="18"/>
              </w:rPr>
            </w:pPr>
            <w:r>
              <w:rPr>
                <w:b/>
                <w:sz w:val="18"/>
                <w:szCs w:val="18"/>
              </w:rPr>
              <w:t>Af te dragen ink.afh. bijdrage Zvw</w:t>
            </w:r>
          </w:p>
        </w:tc>
      </w:tr>
      <w:tr w:rsidR="0007384B" w:rsidTr="00B36CA2">
        <w:trPr>
          <w:trHeight w:val="340"/>
        </w:trPr>
        <w:tc>
          <w:tcPr>
            <w:tcW w:w="1134" w:type="dxa"/>
          </w:tcPr>
          <w:p w:rsidR="0007384B" w:rsidRDefault="0007384B" w:rsidP="00B36CA2">
            <w:pPr>
              <w:rPr>
                <w:szCs w:val="22"/>
              </w:rPr>
            </w:pPr>
          </w:p>
        </w:tc>
        <w:tc>
          <w:tcPr>
            <w:tcW w:w="1134" w:type="dxa"/>
          </w:tcPr>
          <w:p w:rsidR="0007384B" w:rsidRDefault="0007384B" w:rsidP="00B36CA2">
            <w:pPr>
              <w:rPr>
                <w:szCs w:val="22"/>
              </w:rPr>
            </w:pPr>
            <w:r>
              <w:rPr>
                <w:szCs w:val="22"/>
              </w:rPr>
              <w:t>Zvw</w:t>
            </w:r>
          </w:p>
        </w:tc>
        <w:tc>
          <w:tcPr>
            <w:tcW w:w="1276" w:type="dxa"/>
          </w:tcPr>
          <w:p w:rsidR="0007384B" w:rsidRDefault="0007384B" w:rsidP="00B36CA2">
            <w:pPr>
              <w:rPr>
                <w:szCs w:val="22"/>
              </w:rPr>
            </w:pPr>
            <w:r>
              <w:rPr>
                <w:szCs w:val="22"/>
              </w:rPr>
              <w:t>Zvw</w:t>
            </w:r>
          </w:p>
        </w:tc>
        <w:tc>
          <w:tcPr>
            <w:tcW w:w="1276" w:type="dxa"/>
          </w:tcPr>
          <w:p w:rsidR="0007384B" w:rsidRDefault="0007384B" w:rsidP="00B36CA2">
            <w:pPr>
              <w:rPr>
                <w:szCs w:val="22"/>
              </w:rPr>
            </w:pPr>
            <w:r>
              <w:rPr>
                <w:szCs w:val="22"/>
              </w:rPr>
              <w:t>Zvw</w:t>
            </w:r>
          </w:p>
        </w:tc>
        <w:tc>
          <w:tcPr>
            <w:tcW w:w="1134" w:type="dxa"/>
          </w:tcPr>
          <w:p w:rsidR="0007384B" w:rsidRDefault="0007384B" w:rsidP="00B36CA2">
            <w:pPr>
              <w:rPr>
                <w:szCs w:val="22"/>
              </w:rPr>
            </w:pPr>
          </w:p>
        </w:tc>
        <w:tc>
          <w:tcPr>
            <w:tcW w:w="1842" w:type="dxa"/>
          </w:tcPr>
          <w:p w:rsidR="0007384B" w:rsidRDefault="0007384B" w:rsidP="00B36CA2">
            <w:pPr>
              <w:rPr>
                <w:szCs w:val="22"/>
              </w:rPr>
            </w:pPr>
            <w:r>
              <w:rPr>
                <w:szCs w:val="22"/>
              </w:rPr>
              <w:t>Zvw</w:t>
            </w:r>
          </w:p>
        </w:tc>
        <w:tc>
          <w:tcPr>
            <w:tcW w:w="1843" w:type="dxa"/>
          </w:tcPr>
          <w:p w:rsidR="0007384B" w:rsidRDefault="0007384B" w:rsidP="00B36CA2">
            <w:pPr>
              <w:rPr>
                <w:szCs w:val="22"/>
              </w:rPr>
            </w:pPr>
            <w:r>
              <w:rPr>
                <w:szCs w:val="22"/>
              </w:rPr>
              <w:t>Zvw</w:t>
            </w:r>
          </w:p>
        </w:tc>
      </w:tr>
      <w:tr w:rsidR="0007384B" w:rsidTr="00B36CA2">
        <w:trPr>
          <w:trHeight w:val="340"/>
        </w:trPr>
        <w:tc>
          <w:tcPr>
            <w:tcW w:w="1134" w:type="dxa"/>
          </w:tcPr>
          <w:p w:rsidR="0007384B" w:rsidRDefault="0007384B" w:rsidP="00B36CA2">
            <w:pPr>
              <w:rPr>
                <w:szCs w:val="22"/>
              </w:rPr>
            </w:pPr>
          </w:p>
        </w:tc>
        <w:tc>
          <w:tcPr>
            <w:tcW w:w="1134" w:type="dxa"/>
          </w:tcPr>
          <w:p w:rsidR="0007384B" w:rsidRDefault="0007384B" w:rsidP="00B36CA2">
            <w:pPr>
              <w:rPr>
                <w:szCs w:val="22"/>
              </w:rPr>
            </w:pPr>
            <w:r>
              <w:rPr>
                <w:szCs w:val="22"/>
              </w:rPr>
              <w:t>A</w:t>
            </w:r>
          </w:p>
        </w:tc>
        <w:tc>
          <w:tcPr>
            <w:tcW w:w="1276" w:type="dxa"/>
          </w:tcPr>
          <w:p w:rsidR="0007384B" w:rsidRDefault="0007384B" w:rsidP="00B36CA2">
            <w:pPr>
              <w:rPr>
                <w:szCs w:val="22"/>
              </w:rPr>
            </w:pPr>
            <w:r>
              <w:rPr>
                <w:szCs w:val="22"/>
              </w:rPr>
              <w:t>B</w:t>
            </w:r>
          </w:p>
        </w:tc>
        <w:tc>
          <w:tcPr>
            <w:tcW w:w="1276" w:type="dxa"/>
          </w:tcPr>
          <w:p w:rsidR="0007384B" w:rsidRDefault="0007384B" w:rsidP="00B36CA2">
            <w:pPr>
              <w:rPr>
                <w:szCs w:val="22"/>
              </w:rPr>
            </w:pPr>
            <w:r>
              <w:rPr>
                <w:szCs w:val="22"/>
              </w:rPr>
              <w:t>C</w:t>
            </w:r>
          </w:p>
        </w:tc>
        <w:tc>
          <w:tcPr>
            <w:tcW w:w="1134" w:type="dxa"/>
          </w:tcPr>
          <w:p w:rsidR="0007384B" w:rsidRDefault="0007384B" w:rsidP="00B36CA2">
            <w:pPr>
              <w:rPr>
                <w:szCs w:val="22"/>
              </w:rPr>
            </w:pPr>
            <w:r>
              <w:rPr>
                <w:szCs w:val="22"/>
              </w:rPr>
              <w:t>D</w:t>
            </w:r>
          </w:p>
        </w:tc>
        <w:tc>
          <w:tcPr>
            <w:tcW w:w="1842" w:type="dxa"/>
          </w:tcPr>
          <w:p w:rsidR="0007384B" w:rsidRDefault="0007384B" w:rsidP="00B36CA2">
            <w:pPr>
              <w:rPr>
                <w:szCs w:val="22"/>
              </w:rPr>
            </w:pPr>
            <w:r>
              <w:rPr>
                <w:szCs w:val="22"/>
              </w:rPr>
              <w:t>E</w:t>
            </w:r>
          </w:p>
        </w:tc>
        <w:tc>
          <w:tcPr>
            <w:tcW w:w="1843" w:type="dxa"/>
          </w:tcPr>
          <w:p w:rsidR="0007384B" w:rsidRDefault="0007384B" w:rsidP="00B36CA2">
            <w:pPr>
              <w:rPr>
                <w:szCs w:val="22"/>
              </w:rPr>
            </w:pPr>
            <w:r>
              <w:rPr>
                <w:szCs w:val="22"/>
              </w:rPr>
              <w:t>F</w:t>
            </w:r>
          </w:p>
        </w:tc>
      </w:tr>
      <w:tr w:rsidR="0007384B" w:rsidTr="00B36CA2">
        <w:trPr>
          <w:trHeight w:val="340"/>
        </w:trPr>
        <w:tc>
          <w:tcPr>
            <w:tcW w:w="1134" w:type="dxa"/>
          </w:tcPr>
          <w:p w:rsidR="0007384B" w:rsidRDefault="0007384B" w:rsidP="00B36CA2">
            <w:pPr>
              <w:rPr>
                <w:szCs w:val="22"/>
              </w:rPr>
            </w:pPr>
          </w:p>
        </w:tc>
        <w:tc>
          <w:tcPr>
            <w:tcW w:w="1134" w:type="dxa"/>
          </w:tcPr>
          <w:p w:rsidR="0007384B" w:rsidRDefault="0007384B" w:rsidP="00B36CA2">
            <w:pPr>
              <w:rPr>
                <w:szCs w:val="22"/>
              </w:rPr>
            </w:pPr>
          </w:p>
        </w:tc>
        <w:tc>
          <w:tcPr>
            <w:tcW w:w="1276" w:type="dxa"/>
          </w:tcPr>
          <w:p w:rsidR="0007384B" w:rsidRDefault="0007384B" w:rsidP="00B36CA2">
            <w:pPr>
              <w:rPr>
                <w:szCs w:val="22"/>
              </w:rPr>
            </w:pPr>
          </w:p>
        </w:tc>
        <w:tc>
          <w:tcPr>
            <w:tcW w:w="1276" w:type="dxa"/>
          </w:tcPr>
          <w:p w:rsidR="0007384B" w:rsidRDefault="0007384B" w:rsidP="00B36CA2">
            <w:pPr>
              <w:rPr>
                <w:szCs w:val="22"/>
              </w:rPr>
            </w:pPr>
          </w:p>
        </w:tc>
        <w:tc>
          <w:tcPr>
            <w:tcW w:w="1134" w:type="dxa"/>
          </w:tcPr>
          <w:p w:rsidR="0007384B" w:rsidRDefault="0007384B" w:rsidP="00B36CA2">
            <w:pPr>
              <w:rPr>
                <w:szCs w:val="22"/>
              </w:rPr>
            </w:pPr>
          </w:p>
        </w:tc>
        <w:tc>
          <w:tcPr>
            <w:tcW w:w="1842" w:type="dxa"/>
          </w:tcPr>
          <w:p w:rsidR="0007384B" w:rsidRDefault="0007384B" w:rsidP="00B36CA2">
            <w:pPr>
              <w:rPr>
                <w:szCs w:val="22"/>
              </w:rPr>
            </w:pPr>
            <w:r>
              <w:rPr>
                <w:szCs w:val="22"/>
              </w:rPr>
              <w:t>(D -/- totaal t/m vorige periode</w:t>
            </w:r>
          </w:p>
        </w:tc>
        <w:tc>
          <w:tcPr>
            <w:tcW w:w="1843" w:type="dxa"/>
          </w:tcPr>
          <w:p w:rsidR="0007384B" w:rsidRDefault="0007384B" w:rsidP="00B36CA2">
            <w:pPr>
              <w:rPr>
                <w:szCs w:val="22"/>
              </w:rPr>
            </w:pPr>
            <w:r>
              <w:rPr>
                <w:szCs w:val="22"/>
              </w:rPr>
              <w:t>(E x %)</w:t>
            </w:r>
          </w:p>
        </w:tc>
      </w:tr>
      <w:tr w:rsidR="0007384B" w:rsidTr="00B36CA2">
        <w:trPr>
          <w:trHeight w:val="340"/>
        </w:trPr>
        <w:tc>
          <w:tcPr>
            <w:tcW w:w="1134" w:type="dxa"/>
            <w:vAlign w:val="center"/>
          </w:tcPr>
          <w:p w:rsidR="0007384B" w:rsidRDefault="0007384B" w:rsidP="00B36CA2">
            <w:pPr>
              <w:rPr>
                <w:szCs w:val="22"/>
              </w:rPr>
            </w:pPr>
            <w:r>
              <w:rPr>
                <w:szCs w:val="22"/>
              </w:rPr>
              <w:t>januari</w:t>
            </w:r>
          </w:p>
        </w:tc>
        <w:tc>
          <w:tcPr>
            <w:tcW w:w="1134" w:type="dxa"/>
            <w:vAlign w:val="center"/>
          </w:tcPr>
          <w:p w:rsidR="0007384B" w:rsidRDefault="0007384B" w:rsidP="00B36CA2">
            <w:pPr>
              <w:rPr>
                <w:szCs w:val="22"/>
              </w:rPr>
            </w:pPr>
            <w:r>
              <w:rPr>
                <w:szCs w:val="22"/>
              </w:rPr>
              <w:t>3.900,00</w:t>
            </w:r>
          </w:p>
        </w:tc>
        <w:tc>
          <w:tcPr>
            <w:tcW w:w="1276" w:type="dxa"/>
            <w:vAlign w:val="center"/>
          </w:tcPr>
          <w:p w:rsidR="0007384B" w:rsidRDefault="0007384B" w:rsidP="00B36CA2">
            <w:pPr>
              <w:rPr>
                <w:szCs w:val="22"/>
              </w:rPr>
            </w:pPr>
            <w:r>
              <w:rPr>
                <w:szCs w:val="22"/>
              </w:rPr>
              <w:t xml:space="preserve"> 3.900,00</w:t>
            </w:r>
          </w:p>
        </w:tc>
        <w:tc>
          <w:tcPr>
            <w:tcW w:w="1276" w:type="dxa"/>
            <w:vAlign w:val="center"/>
          </w:tcPr>
          <w:p w:rsidR="0007384B" w:rsidRDefault="0007384B" w:rsidP="00B36CA2">
            <w:r>
              <w:t>4.396,91</w:t>
            </w:r>
          </w:p>
        </w:tc>
        <w:tc>
          <w:tcPr>
            <w:tcW w:w="1134" w:type="dxa"/>
            <w:vAlign w:val="center"/>
          </w:tcPr>
          <w:p w:rsidR="0007384B" w:rsidRDefault="0007384B" w:rsidP="00B36CA2">
            <w:pPr>
              <w:rPr>
                <w:szCs w:val="22"/>
              </w:rPr>
            </w:pPr>
            <w:r>
              <w:rPr>
                <w:szCs w:val="22"/>
              </w:rPr>
              <w:t>3.900,00</w:t>
            </w:r>
          </w:p>
        </w:tc>
        <w:tc>
          <w:tcPr>
            <w:tcW w:w="1842" w:type="dxa"/>
            <w:vAlign w:val="center"/>
          </w:tcPr>
          <w:p w:rsidR="0007384B" w:rsidRDefault="0007384B" w:rsidP="00B36CA2">
            <w:pPr>
              <w:rPr>
                <w:szCs w:val="22"/>
              </w:rPr>
            </w:pPr>
            <w:r>
              <w:rPr>
                <w:szCs w:val="22"/>
              </w:rPr>
              <w:t>3.900,00</w:t>
            </w:r>
          </w:p>
        </w:tc>
        <w:tc>
          <w:tcPr>
            <w:tcW w:w="1843" w:type="dxa"/>
            <w:vAlign w:val="center"/>
          </w:tcPr>
          <w:p w:rsidR="0007384B" w:rsidRDefault="0007384B" w:rsidP="00B36CA2">
            <w:pPr>
              <w:rPr>
                <w:szCs w:val="22"/>
              </w:rPr>
            </w:pPr>
            <w:r>
              <w:rPr>
                <w:szCs w:val="22"/>
              </w:rPr>
              <w:t>263,25</w:t>
            </w:r>
          </w:p>
        </w:tc>
      </w:tr>
      <w:tr w:rsidR="0007384B" w:rsidTr="00B36CA2">
        <w:trPr>
          <w:trHeight w:val="340"/>
        </w:trPr>
        <w:tc>
          <w:tcPr>
            <w:tcW w:w="1134" w:type="dxa"/>
            <w:vAlign w:val="center"/>
          </w:tcPr>
          <w:p w:rsidR="0007384B" w:rsidRDefault="0007384B" w:rsidP="00B36CA2">
            <w:pPr>
              <w:rPr>
                <w:szCs w:val="22"/>
              </w:rPr>
            </w:pPr>
            <w:r>
              <w:rPr>
                <w:szCs w:val="22"/>
              </w:rPr>
              <w:lastRenderedPageBreak/>
              <w:t>februari</w:t>
            </w:r>
          </w:p>
        </w:tc>
        <w:tc>
          <w:tcPr>
            <w:tcW w:w="1134" w:type="dxa"/>
            <w:vAlign w:val="center"/>
          </w:tcPr>
          <w:p w:rsidR="0007384B" w:rsidRDefault="0007384B" w:rsidP="00B36CA2">
            <w:pPr>
              <w:rPr>
                <w:szCs w:val="22"/>
              </w:rPr>
            </w:pPr>
            <w:r>
              <w:rPr>
                <w:szCs w:val="22"/>
              </w:rPr>
              <w:t>5.200,00</w:t>
            </w:r>
          </w:p>
        </w:tc>
        <w:tc>
          <w:tcPr>
            <w:tcW w:w="1276" w:type="dxa"/>
            <w:vAlign w:val="center"/>
          </w:tcPr>
          <w:p w:rsidR="0007384B" w:rsidRDefault="0007384B" w:rsidP="00B36CA2">
            <w:pPr>
              <w:rPr>
                <w:szCs w:val="22"/>
              </w:rPr>
            </w:pPr>
            <w:r>
              <w:rPr>
                <w:szCs w:val="22"/>
              </w:rPr>
              <w:t xml:space="preserve"> 9.100,00</w:t>
            </w:r>
          </w:p>
        </w:tc>
        <w:tc>
          <w:tcPr>
            <w:tcW w:w="1276" w:type="dxa"/>
            <w:vAlign w:val="center"/>
          </w:tcPr>
          <w:p w:rsidR="0007384B" w:rsidRDefault="0007384B" w:rsidP="00B36CA2">
            <w:r>
              <w:t>8.793,82</w:t>
            </w:r>
          </w:p>
        </w:tc>
        <w:tc>
          <w:tcPr>
            <w:tcW w:w="1134" w:type="dxa"/>
            <w:vAlign w:val="center"/>
          </w:tcPr>
          <w:p w:rsidR="0007384B" w:rsidRDefault="0007384B" w:rsidP="00B36CA2">
            <w:r>
              <w:t>8.793,82</w:t>
            </w:r>
          </w:p>
        </w:tc>
        <w:tc>
          <w:tcPr>
            <w:tcW w:w="1842" w:type="dxa"/>
            <w:vAlign w:val="center"/>
          </w:tcPr>
          <w:p w:rsidR="0007384B" w:rsidRDefault="0007384B" w:rsidP="00B36CA2">
            <w:pPr>
              <w:rPr>
                <w:szCs w:val="22"/>
              </w:rPr>
            </w:pPr>
            <w:r>
              <w:rPr>
                <w:szCs w:val="22"/>
              </w:rPr>
              <w:t>4.893,82</w:t>
            </w:r>
          </w:p>
        </w:tc>
        <w:tc>
          <w:tcPr>
            <w:tcW w:w="1843" w:type="dxa"/>
            <w:vAlign w:val="center"/>
          </w:tcPr>
          <w:p w:rsidR="0007384B" w:rsidRDefault="0007384B" w:rsidP="00B36CA2">
            <w:pPr>
              <w:rPr>
                <w:szCs w:val="22"/>
              </w:rPr>
            </w:pPr>
            <w:r>
              <w:rPr>
                <w:szCs w:val="22"/>
              </w:rPr>
              <w:t>330,33</w:t>
            </w:r>
          </w:p>
        </w:tc>
      </w:tr>
      <w:tr w:rsidR="0007384B" w:rsidTr="00B36CA2">
        <w:trPr>
          <w:trHeight w:val="340"/>
        </w:trPr>
        <w:tc>
          <w:tcPr>
            <w:tcW w:w="1134" w:type="dxa"/>
            <w:vAlign w:val="center"/>
          </w:tcPr>
          <w:p w:rsidR="0007384B" w:rsidRDefault="0007384B" w:rsidP="00B36CA2">
            <w:pPr>
              <w:rPr>
                <w:szCs w:val="22"/>
              </w:rPr>
            </w:pPr>
            <w:r>
              <w:rPr>
                <w:szCs w:val="22"/>
              </w:rPr>
              <w:t>maart</w:t>
            </w:r>
          </w:p>
        </w:tc>
        <w:tc>
          <w:tcPr>
            <w:tcW w:w="1134" w:type="dxa"/>
            <w:vAlign w:val="center"/>
          </w:tcPr>
          <w:p w:rsidR="0007384B" w:rsidRDefault="0007384B" w:rsidP="00B36CA2">
            <w:pPr>
              <w:rPr>
                <w:szCs w:val="22"/>
              </w:rPr>
            </w:pPr>
            <w:r>
              <w:rPr>
                <w:szCs w:val="22"/>
              </w:rPr>
              <w:t>7.800,00</w:t>
            </w:r>
          </w:p>
        </w:tc>
        <w:tc>
          <w:tcPr>
            <w:tcW w:w="1276" w:type="dxa"/>
            <w:vAlign w:val="center"/>
          </w:tcPr>
          <w:p w:rsidR="0007384B" w:rsidRDefault="0007384B" w:rsidP="00B36CA2">
            <w:pPr>
              <w:rPr>
                <w:szCs w:val="22"/>
              </w:rPr>
            </w:pPr>
            <w:r>
              <w:rPr>
                <w:szCs w:val="22"/>
              </w:rPr>
              <w:t xml:space="preserve"> 16.900,00</w:t>
            </w:r>
          </w:p>
        </w:tc>
        <w:tc>
          <w:tcPr>
            <w:tcW w:w="1276" w:type="dxa"/>
            <w:vAlign w:val="center"/>
          </w:tcPr>
          <w:p w:rsidR="0007384B" w:rsidRDefault="0007384B" w:rsidP="00B36CA2">
            <w:r>
              <w:t>13.190,73</w:t>
            </w:r>
          </w:p>
        </w:tc>
        <w:tc>
          <w:tcPr>
            <w:tcW w:w="1134" w:type="dxa"/>
            <w:vAlign w:val="center"/>
          </w:tcPr>
          <w:p w:rsidR="0007384B" w:rsidRDefault="0007384B" w:rsidP="00B36CA2">
            <w:r>
              <w:t>13.190,73</w:t>
            </w:r>
          </w:p>
        </w:tc>
        <w:tc>
          <w:tcPr>
            <w:tcW w:w="1842" w:type="dxa"/>
            <w:vAlign w:val="center"/>
          </w:tcPr>
          <w:p w:rsidR="0007384B" w:rsidRDefault="0007384B" w:rsidP="00B36CA2">
            <w:pPr>
              <w:rPr>
                <w:szCs w:val="22"/>
              </w:rPr>
            </w:pPr>
            <w:r>
              <w:rPr>
                <w:szCs w:val="22"/>
              </w:rPr>
              <w:t>4.396,91</w:t>
            </w:r>
          </w:p>
        </w:tc>
        <w:tc>
          <w:tcPr>
            <w:tcW w:w="1843" w:type="dxa"/>
            <w:vAlign w:val="center"/>
          </w:tcPr>
          <w:p w:rsidR="0007384B" w:rsidRDefault="0007384B" w:rsidP="00B36CA2">
            <w:pPr>
              <w:rPr>
                <w:szCs w:val="22"/>
              </w:rPr>
            </w:pPr>
            <w:r>
              <w:rPr>
                <w:szCs w:val="22"/>
              </w:rPr>
              <w:t>296,79</w:t>
            </w:r>
          </w:p>
        </w:tc>
      </w:tr>
    </w:tbl>
    <w:p w:rsidR="0007384B" w:rsidRDefault="0007384B" w:rsidP="0007384B">
      <w:pPr>
        <w:rPr>
          <w:szCs w:val="22"/>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34"/>
        <w:gridCol w:w="1276"/>
        <w:gridCol w:w="1276"/>
        <w:gridCol w:w="1134"/>
        <w:gridCol w:w="1842"/>
        <w:gridCol w:w="1843"/>
      </w:tblGrid>
      <w:tr w:rsidR="0007384B" w:rsidTr="00B36CA2">
        <w:trPr>
          <w:trHeight w:val="340"/>
        </w:trPr>
        <w:tc>
          <w:tcPr>
            <w:tcW w:w="1134" w:type="dxa"/>
          </w:tcPr>
          <w:p w:rsidR="0007384B" w:rsidRDefault="0007384B" w:rsidP="00B36CA2">
            <w:pPr>
              <w:rPr>
                <w:b/>
              </w:rPr>
            </w:pPr>
            <w:r>
              <w:rPr>
                <w:b/>
              </w:rPr>
              <w:t>Maand</w:t>
            </w:r>
          </w:p>
        </w:tc>
        <w:tc>
          <w:tcPr>
            <w:tcW w:w="1134" w:type="dxa"/>
          </w:tcPr>
          <w:p w:rsidR="0007384B" w:rsidRDefault="0007384B" w:rsidP="00B36CA2">
            <w:pPr>
              <w:rPr>
                <w:b/>
              </w:rPr>
            </w:pPr>
            <w:r>
              <w:rPr>
                <w:b/>
              </w:rPr>
              <w:t>Loon</w:t>
            </w:r>
          </w:p>
        </w:tc>
        <w:tc>
          <w:tcPr>
            <w:tcW w:w="1276" w:type="dxa"/>
          </w:tcPr>
          <w:p w:rsidR="0007384B" w:rsidRDefault="0007384B" w:rsidP="00B36CA2">
            <w:pPr>
              <w:rPr>
                <w:b/>
              </w:rPr>
            </w:pPr>
            <w:r>
              <w:rPr>
                <w:b/>
              </w:rPr>
              <w:t>Loon cumulatief</w:t>
            </w:r>
          </w:p>
        </w:tc>
        <w:tc>
          <w:tcPr>
            <w:tcW w:w="1276" w:type="dxa"/>
          </w:tcPr>
          <w:p w:rsidR="0007384B" w:rsidRDefault="0007384B" w:rsidP="00B36CA2">
            <w:pPr>
              <w:rPr>
                <w:b/>
              </w:rPr>
            </w:pPr>
            <w:r>
              <w:rPr>
                <w:b/>
              </w:rPr>
              <w:t>Max cum</w:t>
            </w:r>
          </w:p>
        </w:tc>
        <w:tc>
          <w:tcPr>
            <w:tcW w:w="1134" w:type="dxa"/>
          </w:tcPr>
          <w:p w:rsidR="0007384B" w:rsidRDefault="0007384B" w:rsidP="00B36CA2">
            <w:pPr>
              <w:rPr>
                <w:b/>
              </w:rPr>
            </w:pPr>
            <w:r>
              <w:rPr>
                <w:b/>
              </w:rPr>
              <w:t>Als B&gt;C dan C anders B</w:t>
            </w:r>
          </w:p>
        </w:tc>
        <w:tc>
          <w:tcPr>
            <w:tcW w:w="1842" w:type="dxa"/>
          </w:tcPr>
          <w:p w:rsidR="0007384B" w:rsidRDefault="0007384B" w:rsidP="00B36CA2">
            <w:pPr>
              <w:rPr>
                <w:b/>
              </w:rPr>
            </w:pPr>
            <w:r>
              <w:rPr>
                <w:b/>
              </w:rPr>
              <w:t>Premieloon per maand</w:t>
            </w:r>
          </w:p>
        </w:tc>
        <w:tc>
          <w:tcPr>
            <w:tcW w:w="1843" w:type="dxa"/>
          </w:tcPr>
          <w:p w:rsidR="0007384B" w:rsidRDefault="0007384B" w:rsidP="00B36CA2">
            <w:pPr>
              <w:rPr>
                <w:b/>
              </w:rPr>
            </w:pPr>
            <w:r>
              <w:rPr>
                <w:b/>
              </w:rPr>
              <w:t>Af te dragen premie</w:t>
            </w:r>
          </w:p>
        </w:tc>
      </w:tr>
      <w:tr w:rsidR="0007384B" w:rsidTr="00B36CA2">
        <w:trPr>
          <w:trHeight w:val="340"/>
        </w:trPr>
        <w:tc>
          <w:tcPr>
            <w:tcW w:w="1134" w:type="dxa"/>
          </w:tcPr>
          <w:p w:rsidR="0007384B" w:rsidRDefault="0007384B" w:rsidP="00B36CA2">
            <w:pPr>
              <w:rPr>
                <w:b/>
              </w:rPr>
            </w:pPr>
          </w:p>
        </w:tc>
        <w:tc>
          <w:tcPr>
            <w:tcW w:w="1134" w:type="dxa"/>
          </w:tcPr>
          <w:p w:rsidR="0007384B" w:rsidRDefault="0007384B" w:rsidP="00B36CA2">
            <w:pPr>
              <w:rPr>
                <w:b/>
              </w:rPr>
            </w:pPr>
          </w:p>
        </w:tc>
        <w:tc>
          <w:tcPr>
            <w:tcW w:w="1276" w:type="dxa"/>
          </w:tcPr>
          <w:p w:rsidR="0007384B" w:rsidRDefault="0007384B" w:rsidP="00B36CA2">
            <w:pPr>
              <w:rPr>
                <w:b/>
              </w:rPr>
            </w:pPr>
          </w:p>
        </w:tc>
        <w:tc>
          <w:tcPr>
            <w:tcW w:w="1276" w:type="dxa"/>
          </w:tcPr>
          <w:p w:rsidR="0007384B" w:rsidRDefault="0007384B" w:rsidP="00B36CA2">
            <w:pPr>
              <w:rPr>
                <w:b/>
              </w:rPr>
            </w:pPr>
          </w:p>
        </w:tc>
        <w:tc>
          <w:tcPr>
            <w:tcW w:w="1134" w:type="dxa"/>
          </w:tcPr>
          <w:p w:rsidR="0007384B" w:rsidRDefault="0007384B" w:rsidP="00B36CA2">
            <w:pPr>
              <w:rPr>
                <w:b/>
              </w:rPr>
            </w:pPr>
          </w:p>
        </w:tc>
        <w:tc>
          <w:tcPr>
            <w:tcW w:w="1842" w:type="dxa"/>
          </w:tcPr>
          <w:p w:rsidR="0007384B" w:rsidRDefault="0007384B" w:rsidP="00B36CA2">
            <w:pPr>
              <w:rPr>
                <w:b/>
              </w:rPr>
            </w:pPr>
            <w:r>
              <w:rPr>
                <w:b/>
              </w:rPr>
              <w:t>WW Awf</w:t>
            </w:r>
          </w:p>
        </w:tc>
        <w:tc>
          <w:tcPr>
            <w:tcW w:w="1843" w:type="dxa"/>
          </w:tcPr>
          <w:p w:rsidR="0007384B" w:rsidRDefault="0007384B" w:rsidP="00B36CA2">
            <w:pPr>
              <w:rPr>
                <w:b/>
              </w:rPr>
            </w:pPr>
            <w:r>
              <w:rPr>
                <w:b/>
              </w:rPr>
              <w:t>WW Awf</w:t>
            </w:r>
          </w:p>
        </w:tc>
      </w:tr>
      <w:tr w:rsidR="0007384B" w:rsidTr="00B36CA2">
        <w:trPr>
          <w:trHeight w:val="340"/>
        </w:trPr>
        <w:tc>
          <w:tcPr>
            <w:tcW w:w="1134" w:type="dxa"/>
          </w:tcPr>
          <w:p w:rsidR="0007384B" w:rsidRDefault="0007384B" w:rsidP="00B36CA2">
            <w:pPr>
              <w:rPr>
                <w:szCs w:val="22"/>
              </w:rPr>
            </w:pPr>
          </w:p>
        </w:tc>
        <w:tc>
          <w:tcPr>
            <w:tcW w:w="1134" w:type="dxa"/>
          </w:tcPr>
          <w:p w:rsidR="0007384B" w:rsidRDefault="0007384B" w:rsidP="00B36CA2">
            <w:pPr>
              <w:rPr>
                <w:szCs w:val="22"/>
              </w:rPr>
            </w:pPr>
            <w:r>
              <w:rPr>
                <w:szCs w:val="22"/>
              </w:rPr>
              <w:t>A</w:t>
            </w:r>
          </w:p>
        </w:tc>
        <w:tc>
          <w:tcPr>
            <w:tcW w:w="1276" w:type="dxa"/>
          </w:tcPr>
          <w:p w:rsidR="0007384B" w:rsidRDefault="0007384B" w:rsidP="00B36CA2">
            <w:pPr>
              <w:rPr>
                <w:szCs w:val="22"/>
              </w:rPr>
            </w:pPr>
            <w:r>
              <w:rPr>
                <w:szCs w:val="22"/>
              </w:rPr>
              <w:t>B</w:t>
            </w:r>
          </w:p>
        </w:tc>
        <w:tc>
          <w:tcPr>
            <w:tcW w:w="1276" w:type="dxa"/>
          </w:tcPr>
          <w:p w:rsidR="0007384B" w:rsidRDefault="0007384B" w:rsidP="00B36CA2">
            <w:pPr>
              <w:rPr>
                <w:szCs w:val="22"/>
              </w:rPr>
            </w:pPr>
            <w:r>
              <w:rPr>
                <w:szCs w:val="22"/>
              </w:rPr>
              <w:t>C</w:t>
            </w:r>
          </w:p>
        </w:tc>
        <w:tc>
          <w:tcPr>
            <w:tcW w:w="1134" w:type="dxa"/>
          </w:tcPr>
          <w:p w:rsidR="0007384B" w:rsidRDefault="0007384B" w:rsidP="00B36CA2">
            <w:pPr>
              <w:rPr>
                <w:szCs w:val="22"/>
              </w:rPr>
            </w:pPr>
            <w:r>
              <w:rPr>
                <w:szCs w:val="22"/>
              </w:rPr>
              <w:t>D</w:t>
            </w:r>
          </w:p>
        </w:tc>
        <w:tc>
          <w:tcPr>
            <w:tcW w:w="1842" w:type="dxa"/>
          </w:tcPr>
          <w:p w:rsidR="0007384B" w:rsidRDefault="0007384B" w:rsidP="00B36CA2">
            <w:pPr>
              <w:rPr>
                <w:szCs w:val="22"/>
              </w:rPr>
            </w:pPr>
            <w:r>
              <w:rPr>
                <w:szCs w:val="22"/>
              </w:rPr>
              <w:t>E</w:t>
            </w:r>
          </w:p>
        </w:tc>
        <w:tc>
          <w:tcPr>
            <w:tcW w:w="1843" w:type="dxa"/>
          </w:tcPr>
          <w:p w:rsidR="0007384B" w:rsidRDefault="0007384B" w:rsidP="00B36CA2">
            <w:pPr>
              <w:rPr>
                <w:szCs w:val="22"/>
              </w:rPr>
            </w:pPr>
            <w:r>
              <w:rPr>
                <w:szCs w:val="22"/>
              </w:rPr>
              <w:t>F</w:t>
            </w:r>
          </w:p>
        </w:tc>
      </w:tr>
      <w:tr w:rsidR="0007384B" w:rsidTr="00B36CA2">
        <w:trPr>
          <w:trHeight w:val="340"/>
        </w:trPr>
        <w:tc>
          <w:tcPr>
            <w:tcW w:w="1134" w:type="dxa"/>
          </w:tcPr>
          <w:p w:rsidR="0007384B" w:rsidRDefault="0007384B" w:rsidP="00B36CA2">
            <w:pPr>
              <w:rPr>
                <w:szCs w:val="22"/>
              </w:rPr>
            </w:pPr>
          </w:p>
        </w:tc>
        <w:tc>
          <w:tcPr>
            <w:tcW w:w="1134" w:type="dxa"/>
          </w:tcPr>
          <w:p w:rsidR="0007384B" w:rsidRDefault="0007384B" w:rsidP="00B36CA2">
            <w:pPr>
              <w:rPr>
                <w:szCs w:val="22"/>
              </w:rPr>
            </w:pPr>
          </w:p>
        </w:tc>
        <w:tc>
          <w:tcPr>
            <w:tcW w:w="1276" w:type="dxa"/>
          </w:tcPr>
          <w:p w:rsidR="0007384B" w:rsidRDefault="0007384B" w:rsidP="00B36CA2">
            <w:pPr>
              <w:rPr>
                <w:szCs w:val="22"/>
              </w:rPr>
            </w:pPr>
          </w:p>
        </w:tc>
        <w:tc>
          <w:tcPr>
            <w:tcW w:w="1276" w:type="dxa"/>
          </w:tcPr>
          <w:p w:rsidR="0007384B" w:rsidRDefault="0007384B" w:rsidP="00B36CA2">
            <w:pPr>
              <w:rPr>
                <w:szCs w:val="22"/>
              </w:rPr>
            </w:pPr>
          </w:p>
        </w:tc>
        <w:tc>
          <w:tcPr>
            <w:tcW w:w="1134" w:type="dxa"/>
          </w:tcPr>
          <w:p w:rsidR="0007384B" w:rsidRDefault="0007384B" w:rsidP="00B36CA2">
            <w:pPr>
              <w:rPr>
                <w:szCs w:val="22"/>
              </w:rPr>
            </w:pPr>
          </w:p>
        </w:tc>
        <w:tc>
          <w:tcPr>
            <w:tcW w:w="1842" w:type="dxa"/>
          </w:tcPr>
          <w:p w:rsidR="0007384B" w:rsidRDefault="0007384B" w:rsidP="00B36CA2">
            <w:pPr>
              <w:rPr>
                <w:szCs w:val="22"/>
              </w:rPr>
            </w:pPr>
            <w:r>
              <w:rPr>
                <w:szCs w:val="22"/>
              </w:rPr>
              <w:t>(D -/- totaal t/m vorige periode</w:t>
            </w:r>
          </w:p>
        </w:tc>
        <w:tc>
          <w:tcPr>
            <w:tcW w:w="1843" w:type="dxa"/>
          </w:tcPr>
          <w:p w:rsidR="0007384B" w:rsidRDefault="0007384B" w:rsidP="00B36CA2">
            <w:pPr>
              <w:rPr>
                <w:szCs w:val="22"/>
              </w:rPr>
            </w:pPr>
            <w:r>
              <w:rPr>
                <w:szCs w:val="22"/>
              </w:rPr>
              <w:t>(E x %)</w:t>
            </w:r>
          </w:p>
        </w:tc>
      </w:tr>
      <w:tr w:rsidR="0007384B" w:rsidTr="00B36CA2">
        <w:trPr>
          <w:trHeight w:val="340"/>
        </w:trPr>
        <w:tc>
          <w:tcPr>
            <w:tcW w:w="1134" w:type="dxa"/>
            <w:vAlign w:val="center"/>
          </w:tcPr>
          <w:p w:rsidR="0007384B" w:rsidRDefault="0007384B" w:rsidP="00B36CA2">
            <w:pPr>
              <w:rPr>
                <w:szCs w:val="22"/>
              </w:rPr>
            </w:pPr>
            <w:r>
              <w:rPr>
                <w:szCs w:val="22"/>
              </w:rPr>
              <w:t>januari</w:t>
            </w:r>
          </w:p>
        </w:tc>
        <w:tc>
          <w:tcPr>
            <w:tcW w:w="1134" w:type="dxa"/>
            <w:vAlign w:val="center"/>
          </w:tcPr>
          <w:p w:rsidR="0007384B" w:rsidRDefault="0007384B" w:rsidP="00B36CA2">
            <w:pPr>
              <w:rPr>
                <w:szCs w:val="22"/>
              </w:rPr>
            </w:pPr>
            <w:r>
              <w:rPr>
                <w:szCs w:val="22"/>
              </w:rPr>
              <w:t>3.900,00</w:t>
            </w:r>
          </w:p>
        </w:tc>
        <w:tc>
          <w:tcPr>
            <w:tcW w:w="1276" w:type="dxa"/>
            <w:vAlign w:val="center"/>
          </w:tcPr>
          <w:p w:rsidR="0007384B" w:rsidRDefault="0007384B" w:rsidP="00B36CA2">
            <w:pPr>
              <w:rPr>
                <w:szCs w:val="22"/>
              </w:rPr>
            </w:pPr>
            <w:r>
              <w:rPr>
                <w:szCs w:val="22"/>
              </w:rPr>
              <w:t xml:space="preserve"> 3.900,00</w:t>
            </w:r>
          </w:p>
        </w:tc>
        <w:tc>
          <w:tcPr>
            <w:tcW w:w="1276" w:type="dxa"/>
            <w:vAlign w:val="center"/>
          </w:tcPr>
          <w:p w:rsidR="0007384B" w:rsidRDefault="0007384B" w:rsidP="00B36CA2">
            <w:r>
              <w:t>4.396,91</w:t>
            </w:r>
          </w:p>
        </w:tc>
        <w:tc>
          <w:tcPr>
            <w:tcW w:w="1134" w:type="dxa"/>
            <w:vAlign w:val="center"/>
          </w:tcPr>
          <w:p w:rsidR="0007384B" w:rsidRDefault="0007384B" w:rsidP="00B36CA2">
            <w:pPr>
              <w:rPr>
                <w:szCs w:val="22"/>
              </w:rPr>
            </w:pPr>
            <w:r>
              <w:rPr>
                <w:szCs w:val="22"/>
              </w:rPr>
              <w:t>3.900,00</w:t>
            </w:r>
          </w:p>
        </w:tc>
        <w:tc>
          <w:tcPr>
            <w:tcW w:w="1842" w:type="dxa"/>
            <w:vAlign w:val="center"/>
          </w:tcPr>
          <w:p w:rsidR="0007384B" w:rsidRDefault="0007384B" w:rsidP="00B36CA2">
            <w:pPr>
              <w:rPr>
                <w:szCs w:val="22"/>
              </w:rPr>
            </w:pPr>
            <w:r>
              <w:rPr>
                <w:szCs w:val="22"/>
              </w:rPr>
              <w:t>3.900,00</w:t>
            </w:r>
          </w:p>
        </w:tc>
        <w:tc>
          <w:tcPr>
            <w:tcW w:w="1843" w:type="dxa"/>
            <w:vAlign w:val="center"/>
          </w:tcPr>
          <w:p w:rsidR="0007384B" w:rsidRDefault="0007384B" w:rsidP="00B36CA2">
            <w:pPr>
              <w:rPr>
                <w:szCs w:val="22"/>
              </w:rPr>
            </w:pPr>
            <w:r>
              <w:rPr>
                <w:szCs w:val="22"/>
              </w:rPr>
              <w:t>95,16</w:t>
            </w:r>
          </w:p>
        </w:tc>
      </w:tr>
      <w:tr w:rsidR="0007384B" w:rsidTr="00B36CA2">
        <w:trPr>
          <w:trHeight w:val="340"/>
        </w:trPr>
        <w:tc>
          <w:tcPr>
            <w:tcW w:w="1134" w:type="dxa"/>
            <w:vAlign w:val="center"/>
          </w:tcPr>
          <w:p w:rsidR="0007384B" w:rsidRDefault="0007384B" w:rsidP="00B36CA2">
            <w:pPr>
              <w:rPr>
                <w:szCs w:val="22"/>
              </w:rPr>
            </w:pPr>
            <w:r>
              <w:rPr>
                <w:szCs w:val="22"/>
              </w:rPr>
              <w:t>februari</w:t>
            </w:r>
          </w:p>
        </w:tc>
        <w:tc>
          <w:tcPr>
            <w:tcW w:w="1134" w:type="dxa"/>
            <w:vAlign w:val="center"/>
          </w:tcPr>
          <w:p w:rsidR="0007384B" w:rsidRDefault="0007384B" w:rsidP="00B36CA2">
            <w:pPr>
              <w:rPr>
                <w:szCs w:val="22"/>
              </w:rPr>
            </w:pPr>
            <w:r>
              <w:rPr>
                <w:szCs w:val="22"/>
              </w:rPr>
              <w:t>5.200,00</w:t>
            </w:r>
          </w:p>
        </w:tc>
        <w:tc>
          <w:tcPr>
            <w:tcW w:w="1276" w:type="dxa"/>
            <w:vAlign w:val="center"/>
          </w:tcPr>
          <w:p w:rsidR="0007384B" w:rsidRDefault="0007384B" w:rsidP="00B36CA2">
            <w:pPr>
              <w:rPr>
                <w:szCs w:val="22"/>
              </w:rPr>
            </w:pPr>
            <w:r>
              <w:rPr>
                <w:szCs w:val="22"/>
              </w:rPr>
              <w:t xml:space="preserve"> 9.100,00</w:t>
            </w:r>
          </w:p>
        </w:tc>
        <w:tc>
          <w:tcPr>
            <w:tcW w:w="1276" w:type="dxa"/>
            <w:vAlign w:val="center"/>
          </w:tcPr>
          <w:p w:rsidR="0007384B" w:rsidRDefault="0007384B" w:rsidP="00B36CA2">
            <w:r>
              <w:t>8.793,82</w:t>
            </w:r>
          </w:p>
        </w:tc>
        <w:tc>
          <w:tcPr>
            <w:tcW w:w="1134" w:type="dxa"/>
            <w:vAlign w:val="center"/>
          </w:tcPr>
          <w:p w:rsidR="0007384B" w:rsidRDefault="0007384B" w:rsidP="00B36CA2">
            <w:r>
              <w:t>8.793,82</w:t>
            </w:r>
          </w:p>
        </w:tc>
        <w:tc>
          <w:tcPr>
            <w:tcW w:w="1842" w:type="dxa"/>
            <w:vAlign w:val="center"/>
          </w:tcPr>
          <w:p w:rsidR="0007384B" w:rsidRDefault="0007384B" w:rsidP="00B36CA2">
            <w:pPr>
              <w:rPr>
                <w:szCs w:val="22"/>
              </w:rPr>
            </w:pPr>
            <w:r>
              <w:rPr>
                <w:szCs w:val="22"/>
              </w:rPr>
              <w:t>4.893,82</w:t>
            </w:r>
          </w:p>
        </w:tc>
        <w:tc>
          <w:tcPr>
            <w:tcW w:w="1843" w:type="dxa"/>
            <w:vAlign w:val="center"/>
          </w:tcPr>
          <w:p w:rsidR="0007384B" w:rsidRDefault="0007384B" w:rsidP="00B36CA2">
            <w:pPr>
              <w:rPr>
                <w:szCs w:val="22"/>
              </w:rPr>
            </w:pPr>
            <w:r>
              <w:rPr>
                <w:szCs w:val="22"/>
              </w:rPr>
              <w:t>119,40</w:t>
            </w:r>
          </w:p>
        </w:tc>
      </w:tr>
      <w:tr w:rsidR="0007384B" w:rsidTr="00B36CA2">
        <w:trPr>
          <w:trHeight w:val="340"/>
        </w:trPr>
        <w:tc>
          <w:tcPr>
            <w:tcW w:w="1134" w:type="dxa"/>
            <w:vAlign w:val="center"/>
          </w:tcPr>
          <w:p w:rsidR="0007384B" w:rsidRDefault="0007384B" w:rsidP="00B36CA2">
            <w:pPr>
              <w:rPr>
                <w:szCs w:val="22"/>
              </w:rPr>
            </w:pPr>
            <w:r>
              <w:rPr>
                <w:szCs w:val="22"/>
              </w:rPr>
              <w:t>maart</w:t>
            </w:r>
          </w:p>
        </w:tc>
        <w:tc>
          <w:tcPr>
            <w:tcW w:w="1134" w:type="dxa"/>
            <w:vAlign w:val="center"/>
          </w:tcPr>
          <w:p w:rsidR="0007384B" w:rsidRDefault="0007384B" w:rsidP="00B36CA2">
            <w:pPr>
              <w:rPr>
                <w:szCs w:val="22"/>
              </w:rPr>
            </w:pPr>
            <w:r>
              <w:rPr>
                <w:szCs w:val="22"/>
              </w:rPr>
              <w:t>7.800,00</w:t>
            </w:r>
          </w:p>
        </w:tc>
        <w:tc>
          <w:tcPr>
            <w:tcW w:w="1276" w:type="dxa"/>
            <w:vAlign w:val="center"/>
          </w:tcPr>
          <w:p w:rsidR="0007384B" w:rsidRDefault="0007384B" w:rsidP="00B36CA2">
            <w:pPr>
              <w:rPr>
                <w:szCs w:val="22"/>
              </w:rPr>
            </w:pPr>
            <w:r>
              <w:rPr>
                <w:szCs w:val="22"/>
              </w:rPr>
              <w:t xml:space="preserve"> 16.900,00</w:t>
            </w:r>
          </w:p>
        </w:tc>
        <w:tc>
          <w:tcPr>
            <w:tcW w:w="1276" w:type="dxa"/>
            <w:vAlign w:val="center"/>
          </w:tcPr>
          <w:p w:rsidR="0007384B" w:rsidRDefault="0007384B" w:rsidP="00B36CA2">
            <w:r>
              <w:t>13.190,73</w:t>
            </w:r>
          </w:p>
        </w:tc>
        <w:tc>
          <w:tcPr>
            <w:tcW w:w="1134" w:type="dxa"/>
            <w:vAlign w:val="center"/>
          </w:tcPr>
          <w:p w:rsidR="0007384B" w:rsidRDefault="0007384B" w:rsidP="00B36CA2">
            <w:r>
              <w:t>13.190,73</w:t>
            </w:r>
          </w:p>
        </w:tc>
        <w:tc>
          <w:tcPr>
            <w:tcW w:w="1842" w:type="dxa"/>
            <w:vAlign w:val="center"/>
          </w:tcPr>
          <w:p w:rsidR="0007384B" w:rsidRDefault="0007384B" w:rsidP="00B36CA2">
            <w:pPr>
              <w:rPr>
                <w:szCs w:val="22"/>
              </w:rPr>
            </w:pPr>
            <w:r>
              <w:rPr>
                <w:szCs w:val="22"/>
              </w:rPr>
              <w:t>4.396,91</w:t>
            </w:r>
          </w:p>
        </w:tc>
        <w:tc>
          <w:tcPr>
            <w:tcW w:w="1843" w:type="dxa"/>
            <w:vAlign w:val="center"/>
          </w:tcPr>
          <w:p w:rsidR="0007384B" w:rsidRDefault="0007384B" w:rsidP="00B36CA2">
            <w:pPr>
              <w:rPr>
                <w:szCs w:val="22"/>
              </w:rPr>
            </w:pPr>
            <w:r>
              <w:rPr>
                <w:szCs w:val="22"/>
              </w:rPr>
              <w:t>107,28</w:t>
            </w:r>
          </w:p>
        </w:tc>
      </w:tr>
    </w:tbl>
    <w:p w:rsidR="00A839A0" w:rsidRDefault="00A839A0"/>
    <w:sectPr w:rsidR="00A839A0" w:rsidSect="0021449C">
      <w:footerReference w:type="default" r:id="rId9"/>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07384B">
        <w:pPr>
          <w:pStyle w:val="Voettekst"/>
          <w:jc w:val="right"/>
        </w:pPr>
        <w:r w:rsidRPr="00B46EB9">
          <w:rPr>
            <w:lang w:val="fr-FR"/>
          </w:rPr>
          <w:t xml:space="preserve">Convoy - </w:t>
        </w:r>
        <w:r w:rsidRPr="00B46EB9">
          <w:rPr>
            <w:lang w:val="fr-FR"/>
          </w:rPr>
          <w:t xml:space="preserve">VPS LHN niveau 5 (2016/2017) - pag. </w:t>
        </w:r>
        <w:r>
          <w:fldChar w:fldCharType="begin"/>
        </w:r>
        <w:r w:rsidRPr="00B46EB9">
          <w:rPr>
            <w:lang w:val="fr-FR"/>
          </w:rPr>
          <w:instrText xml:space="preserve"> PAGE   \* MERGEFORMAT </w:instrText>
        </w:r>
        <w:r>
          <w:fldChar w:fldCharType="separate"/>
        </w:r>
        <w:r w:rsidRPr="0007384B">
          <w:rPr>
            <w:noProof/>
          </w:rPr>
          <w:t>10</w:t>
        </w:r>
        <w:r>
          <w:rPr>
            <w:noProof/>
          </w:rPr>
          <w:fldChar w:fldCharType="end"/>
        </w:r>
      </w:p>
    </w:sdtContent>
  </w:sdt>
  <w:p w:rsidR="001E1F8A" w:rsidRDefault="0007384B">
    <w:pPr>
      <w:pStyle w:val="Voetteks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07384B"/>
    <w:rsid w:val="0007384B"/>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b/>
      <w:bCs/>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link w:val="Voetnoottekst"/>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link w:val="Plattetekst2"/>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rsid w:val="0007384B"/>
    <w:pPr>
      <w:spacing w:after="0" w:line="240" w:lineRule="auto"/>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2471/HoofdstukV/Afdeling1/Artikel31/geldigheidsdatum_01-05-2013" TargetMode="External"/><Relationship Id="rId3" Type="http://schemas.openxmlformats.org/officeDocument/2006/relationships/settings" Target="settings.xml"/><Relationship Id="rId7" Type="http://schemas.openxmlformats.org/officeDocument/2006/relationships/hyperlink" Target="http://wetten.overheid.nl/BWBR0004043/geldigheidsdatum_01-05-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tten.overheid.nl/BWBR0004045/HoofdstukI/2/Artikel6/geldigheidsdatum_01-05-2013" TargetMode="External"/><Relationship Id="rId11" Type="http://schemas.openxmlformats.org/officeDocument/2006/relationships/theme" Target="theme/theme1.xml"/><Relationship Id="rId5" Type="http://schemas.openxmlformats.org/officeDocument/2006/relationships/hyperlink" Target="http://wetten.overheid.nl/BWBR0002471/geldigheidsdatum_01-05-20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4142</Words>
  <Characters>23613</Characters>
  <Application>Microsoft Office Word</Application>
  <DocSecurity>0</DocSecurity>
  <Lines>196</Lines>
  <Paragraphs>55</Paragraphs>
  <ScaleCrop>false</ScaleCrop>
  <Company>Springer-SBM</Company>
  <LinksUpToDate>false</LinksUpToDate>
  <CharactersWithSpaces>27700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2016-04-19T08:36:00Z</dcterms:created>
  <dcterms:modified xsi:type="dcterms:W3CDTF">2016-04-19T08:36:00Z</dcterms:modified>
</cp:coreProperties>
</file>