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38A" w:rsidRDefault="0054238A" w:rsidP="0054238A">
      <w:pPr>
        <w:pStyle w:val="Tekstzonderopmaak"/>
        <w:ind w:left="708" w:hanging="708"/>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De sociale verzekeringen</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de sociale zekerheidswetgeving onderscheidt men: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volksverzekeringen;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werknemersverzekeringen;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sociale voorzieningen;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de Zorgverzekeringswet.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Zorgverzekeringswet geeft een verzekering voor de dekking van medische kosten. (De Wlz ook voor structurele kosten).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AOW is men niet meer verzekerd vanaf de AOW-gerechtigde leeftijd (2016: 65 jaar plus 6 maanden).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echte dienstbetrekking kan zijn een privaatrechtelijke of een publiekrechtelijke dienstbetrekking, waarbij de elementen loon, persoonlijke arbeid, gezag en een zekere tijd aan de orde zijn.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werknemersverzekeringen is als fictieve dienstbetrekking aangewezen de:</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aannemer van werk (en zijn hulpen);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agent en subagent;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bestuurder van een coöperatie met werknemerszelfbestuur;</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gelijkgestelde;</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leerling en stagiair;</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sekswerker werkzaam voor een exploitant;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thuiswerker (en zijn hulpen);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topsporter met A-status;</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uitzendkracht.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Zvw-verzekering wordt volgens de wet tijdelijk opgeschort als de verzekerde in detentie verblijft.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Gemoedsbezwaren zijn bezwaren tegen het verzekerd zijn voor de volksverzekeringen, werknemersverzekeringen en / of Zvw, meestal uit godsdienstige overwegingen.</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17.2</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volksverzekeringen zijn: AOW, Anw, AKW en Wlz.</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hoofdgroep van verzekerden voor de volksverzekeringen wordt gevormd door de ingezetenen van Nederland, ofwel iedereen die in Nederland ingeschreven staat in een Gemeentelijke Basisadministratie Persoonsgegevens.</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Dan hoeft hij geen AOW-premie meer te betalen, maar ontvangt hij wel een AOW-uitkering.</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groep die geen echte dienstbetrekking heeft, maar wel verzekerd is voor de werknemersverzekeringen, heeft een 'fictieve' dienstbetrekking.</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is van verzekeringsplicht voor de werknemersverzekeringen voor:</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werknemers die de AOW-gerechtigde leeftijd hebben bereikt;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huispersoneel dat op maximaal drie dagen per week in een privéhuishouding werkt;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dga’s (directeuren-grootaandeelhouders);</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 gemoedsbezwaarden.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(Ook een directeur met een minderheidsbelang in de aandelen is soms niet verplicht verzekerd voor de werknemersverzekeringen, namelijk als er geen sprake is van een gezagsverhouding).</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Zowel een werkgever als een werknemer kan als gemoedsbezwaard worden aangemerkt.</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17.3</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vier werknemersverzekeringen zijn: WW, ZW, WAO en WIA.</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ingezetenen van Nederland zijn verzekerd voor de volksverzekeringen:</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t>- bemanningsleden van schepen en vliegtuigen met een thuishaven in Nederland;</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t>- Nederlanders in dienst van een Nederlandse publiekrechtelijke rechtspersoon die in het buitenland wonen met hun gezin (bijvoorbeeld ambassadepersoneel);</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lastRenderedPageBreak/>
        <w:t>- niet-ingezetenen die ter zake van in Nederland verrichte arbeid aan de Nederlandse loonbelasting zijn onderworpen.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hoofdgroep van verzekerden voor de werknemersverzekeringen wordt gevormd door de werknemers met een echte (privaatrechtelijke of publiekrechtelijke) dienstbetrekking.</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verplichte verzekering voor de Zorgverzekeringswet (Zvw) hebben:</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t>- degenen die verzekerd zijn voor de Wlz;</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t>- de niet-ingezetenen die ter zake van in Nederland verrichte arbeid in Nederland loonbelasting betalen.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Iemand kan als gemoedsbezwaard worden beschouwd voor de werknemersverzekeringen, de volksverzekeringen en de Zvw.</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17.4</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(Kortdurende zorgkosten worden via de Zvw bekostigd, langdurige via de Wlz).</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Norman is wel verzekerd voor de werknemersverzekeringen, maar op basis van een privaatrechtelijke dienstbetrekking. UWV is namelijk een zelfstandig bestuursorgaan (ZBO) en geen overheidsinstantie.</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17.5</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Premieplicht volksverzekeringen bestaat voor niet-ingezetenen die ter zake van in Nederland verrichte arbeid in Nederland </w:t>
      </w:r>
      <w:r w:rsidRPr="001009A1">
        <w:rPr>
          <w:rFonts w:ascii="Times New Roman" w:hAnsi="Times New Roman"/>
          <w:sz w:val="22"/>
          <w:szCs w:val="22"/>
          <w:u w:val="single"/>
        </w:rPr>
        <w:t>loonbelasting</w:t>
      </w:r>
      <w:r>
        <w:rPr>
          <w:rFonts w:ascii="Times New Roman" w:hAnsi="Times New Roman"/>
          <w:sz w:val="22"/>
          <w:szCs w:val="22"/>
        </w:rPr>
        <w:t xml:space="preserve"> verschuldigd zijn.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Pseudowerknemers zijn wel premieplichtig voor de volksverzekeringen maar niet voor de werknemersverzekeringen.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Men kan alleen maar als gemoedsbezwaarde voor de Zvw worden beschouwd, als dat ook het geval is voor de Wlz.</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17.6</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Participatiewet is een sociale voorziening, die uit de algemene middelen wordt bekostigd.</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17.7</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ze staan niet op de loonlijst. Alfred en Bas zijn zelfstandig ondernemers en geen werknemers. Er is geen sprake van gezag. Hierdoor is er geen verzekeringsplicht voor de werknemersverzekeringen. Als inwoner van Nederland zijn ze wel verzekerd voor de volksverzekeringen en verzekeringsplichtig voor de Zvw.</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 hij staat op de loonlijst. Het maakt niet uit dat Christiaan een gedeeltelijke WAO-uitkering heeft. Hij is verzekerd voor alle sociale verzekeringen,ook voor de werknemersverzekeringen.</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17.8</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w:t>
      </w:r>
      <w:r>
        <w:rPr>
          <w:rFonts w:ascii="Times New Roman" w:hAnsi="Times New Roman"/>
          <w:sz w:val="22"/>
          <w:szCs w:val="22"/>
        </w:rPr>
        <w:lastRenderedPageBreak/>
        <w:t xml:space="preserve">de aandelen, dus van de zeggenschap van Dircom bv bezit. Er kan dus geen sprake zijn van een gezagsverhouding. </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Toestemming om als gemoedsbezwaarde te worden beschouwd, wordt door de SVB (Sociale Verzekeringsbank) verleend. In een dergelijke situatie dient het volgende te gebeuren:</w:t>
      </w:r>
    </w:p>
    <w:p w:rsidR="0054238A" w:rsidRDefault="0054238A" w:rsidP="0054238A">
      <w:pPr>
        <w:pStyle w:val="Tekstzonderopmaak"/>
        <w:ind w:left="360"/>
        <w:rPr>
          <w:rFonts w:ascii="Times New Roman" w:hAnsi="Times New Roman"/>
          <w:sz w:val="22"/>
          <w:szCs w:val="22"/>
        </w:rPr>
      </w:pPr>
      <w:r>
        <w:rPr>
          <w:rFonts w:ascii="Times New Roman" w:hAnsi="Times New Roman"/>
          <w:sz w:val="22"/>
          <w:szCs w:val="22"/>
        </w:rPr>
        <w:tab/>
        <w:t xml:space="preserve">- Op het salaris van Evert wordt in plaats van premie volksverzekeringen premievervangende </w:t>
      </w:r>
      <w:r>
        <w:rPr>
          <w:rFonts w:ascii="Times New Roman" w:hAnsi="Times New Roman"/>
          <w:sz w:val="22"/>
          <w:szCs w:val="22"/>
        </w:rPr>
        <w:tab/>
        <w:t>loonbelasting ingehouden (en vervolgens afgedragen);</w:t>
      </w:r>
    </w:p>
    <w:p w:rsidR="0054238A" w:rsidRDefault="0054238A" w:rsidP="0054238A">
      <w:pPr>
        <w:pStyle w:val="Tekstzonderopmaak"/>
        <w:ind w:left="360"/>
        <w:rPr>
          <w:rFonts w:ascii="Times New Roman" w:hAnsi="Times New Roman"/>
          <w:sz w:val="22"/>
          <w:szCs w:val="22"/>
        </w:rPr>
      </w:pPr>
      <w:r>
        <w:rPr>
          <w:rFonts w:ascii="Times New Roman" w:hAnsi="Times New Roman"/>
          <w:sz w:val="22"/>
          <w:szCs w:val="22"/>
        </w:rPr>
        <w:tab/>
        <w:t xml:space="preserve">- Dircom bv is zelf niet gemoedsbezwaard en draagt normaal premies volksverzekeringen en </w:t>
      </w:r>
      <w:r>
        <w:rPr>
          <w:rFonts w:ascii="Times New Roman" w:hAnsi="Times New Roman"/>
          <w:sz w:val="22"/>
          <w:szCs w:val="22"/>
        </w:rPr>
        <w:tab/>
        <w:t>werkgeversheffing Zvw af.</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uitzendkrachten ontvangen loon, verrichten persoonlijke arbeid gedurende zekere tijd en staan in een gezagsverhouding. Het bijzondere is dat het werk plaatsvindt onder toezicht en leiding van degene die inleent, te weten Dircom bv. Zij zijn voor alle sociale verzekeringen verzekerd (maar de premieafdracht verloopt via het uitzendbureau, waar ze op de loonlijst staan).</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17.9</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Aangenomen wordt dat Izaäk aan alle voorwaarden voor de thuiswerker voldoet. Er is geen sprake van een echte dienstbetrekking, maar wel van een fictieve dienstbetrekking. Op grond hiervan is hij verzekerd voor alle sociale verzekeringen, ook voor werknemersverzekeringen.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is sprake van een echte (privaatrechtelijke) dienstbetrekking. Vanwege de leeftijd van Jacob bestaat er geen verzekeringsplicht meer voor de werknemersverzekeringen WAO/WIA, de WW en evenmin voor de AOW. Via dit dienstverband is Jacob wel verzekerd voor de Anw, Wlz en Zvw. Door een wetswijziging in 2016 is hij ook voor de ZW verzekerd. Bij ziekte betaalt UWV maximaal 13 weken een ZW-uitkering. Ingaande juli 2016 verhaalt UWV deze op de werkgever.</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geen sprake van een geldige verblijfstitel, m.a.w.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de Wet arbeid vreemdelingen.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Blijkbaar zijn voor de scholieren alle elementen van een dienstbetrekking aanwezig, zodat er sprake is van verzekeringsplicht voor de werknemersverzekeringen, dus ook voor de Ziektewet.</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17.10</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Er is geen sprake van een arbeidsovereenkomst wegens het ontbreken van een gezagsverhouding (geen leiding en geen toezicht).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thuiswerkers zijn werkzaam in een fictieve dienstbetrekking. Zij werken thuis en ontvangen doorgaans ten minste 40% van het minimumloon.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ontheffing i.v.m. gemoedsbezwaren moet bij de SVB (Sociale Verzekeringsbank) worden aangevraagd.</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eigenaren van een vof worden als ondernemers beschouwd. Er is geen sprake van een arbeidsovereenkomst, met name door het ontbreken van een gezagsverhouding. Bouwmeester en Verkruisen hebben ook geen fictieve dienstbetrekking voor de werknemersverzekeringen, omdat zij zelfstandig ondernemer zijn.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Hoewel het element gezag niet expliciet wordt genoemd, wijst alles er op dat Verkruisen vanaf 1 november een privaatrechtelijke dienstbetrekking heeft. Op basis hiervan bestaat verzekeringsplicht voor de werknemersverzekeringen en de Zvw.</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17.11</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mevrouw Mandekker is op basis van de feitelijke wijze van werken niet in dienstbetrekking werkzaam, omdat de gezagsverhouding ontbreekt. Zij is vrij om te komen en te gaan. Evenmin is er sprake van een met een dienstbetrekking gelijk te stellen arbeidsverhouding (rariteit), omdat de familierelatie overheerst.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Mevrouw Mandekker is verzekeringsplichtig voor de Zvw. Nadat zij zich heeft aangemeld bij een zorgverzekeraar, is zij ook verzekerd voor de Zvw.</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 Het kind wordt bijgeschreven op haar polis en is daarmee (premievrij) verzekerd.</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 omdat een werknemer geacht wordt gemoedsbezwaren te hebben tegen de Zorgverzekeringswet als hij gemoedsbezwaren heeft tegen de Wlz.</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erkenning als gemoedsbezwaarde voor de werknemersverzekeringen moet bij de Sociale Verzekeringsbank worden aangevraagd.</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17.12</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verzekeringsplicht werknemersverzekeringen eindigt als de werknemer AOW-gerechtigd wordt. Ingaande 2016 wordt voor de ZW een uitzondering gemaakt.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(Er is wel een bovengrens voor de verplichte werknemersverzekeringen, maar er is geen ondergrens).</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Sjon heeft een fictieve dienstbetrekking (aangenomen werk). Hij heeft recht op een ZW-uitkering.</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is wel sprake van een fictieve dienstbetrekking voor de loonheffing en de Zvw, maar niet voor de werknemersverzekeringen. Bert heeft dus geen recht op een ZW-uitkering.</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17.13</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Volksverzekeringen: Verzekerd: art. 6 AOW, art. 13 Anw enz. (ingezetene);</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Volksverzekeringen: Verzekerd: art. 13 Anw enz. Alleen niet voor de AOW: art. 6 AOW (AOW-gerechtigd);</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en AOW-gerechtigde leeftijd volgens art. 3 WW, art. 3 ZW enz.</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Volksverzekeringen: Verzekerd: art. 8 lid 1 Besluit uitbreiding en beperking kring verzekerden volksverzekeringen 1999 (student, jonger dan 30 jaar);</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Volksverzekeringen: Niet verzekerd: art. 14 lid 1 Besluit uitbreiding en beperking kring verzekerden volksverzekeringen 1999 (in dienst volkenrechtelijke organisatie);</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art. 7 lid 1 Besluit uitbreiding en beperking kring verzekerden werknemersverzekeringen 1990 (werknemer van volkenrechtelijke organisatie).</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Volksverzekeringen: Verzekerd: art. 6 AOW, art. 13 Anw enz. (ingezetene);</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art. 8 lid 1 letter d Besluit aanwijzing gevallen waarin de arbeidsverhouding als dienstbetrekking wordt beschouwd.</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17.14</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Sandra valt onder de categorie dienstverlening aan huis, omdat zij op minder dan vier dagen per week in de privéhuishouding van mevrouw Van Zanten werkzaam is. Zie onder meer art. 5 Wet LB 1964. Omdat er geen sprake is van een dienstbetrekking, valt dit werk niet onder de verzekeringsplicht. Zie onder meer art. 6 lid 1 letter c WW.</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werknemersverzekeringswetten zijn soortgelijke mogelijkheden genoemd. Sandra kan zich voor deze werkzaamheden dus vrijwillig voor de werknemersverzekeringen aanmelden.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Volgens art. 58 lid 1 WW mag Sandra zelf de hoogte van haar verzekerd dagloon opgeven, maar dat bedrag mag niet hoger zijn dan het maximumdagloon voor de werknemersverzekeringen.</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Omdat Sandra ingezetene van Nederland is, valt ze onder de verplichte Zvw-verzekering (art. 2 lid 1 Zvw). Dit staat los van een eventuele WW-uitkering en een dienstverband. Sandra </w:t>
      </w:r>
      <w:r>
        <w:rPr>
          <w:rFonts w:ascii="Times New Roman" w:hAnsi="Times New Roman"/>
          <w:sz w:val="22"/>
          <w:szCs w:val="22"/>
        </w:rPr>
        <w:lastRenderedPageBreak/>
        <w:t>draagt nominale premie af aan de zorgverzekeraar. De inkomensafhankelijke bijdrage wordt berekend over haar inkomsten uit of in verband met arbeid. Dus zowel over de WW-uitkering als over het inkomen dat ze bij mevrouw Van Zanten verdient.</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Volksverzekeringen: Niet verzekerd voor AOW, Anw en AKW op grond van de Wet beperking export uitkeringen. De moeder van Sandra, kan hiervoor onder voorwaarden een vrijwillige verzekering afsluiten op grond van art. 34 en volgende AOW en art. 63 en volgende Anw. Aanmelding dient te geschieden bij de SVB. </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Werknemersverzekeringen: Niet verzekerd: geen werknemer conform art. 3 WW, art. 3 ZW enz.</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ab/>
        <w:t>Zorgverzekeringswet: In verband met de Verordening 883/2004 (of: 1408/71) kan zij verzekerd zijn voor de Nederlandse zorgverzekeringen Wlz en Zvw. Aanmelding geschiedt bij de SVB. Er bestaat dan recht op zorg in Frankrijk De hoogte van de premie is gebaseerd op de hoogte van de zorgkosten in Frankrijk. Premie moet worden afgedragen aan het Zorginstituut Nederland. Deze premie kan ook worden ingehouden op haar WAO-uitkering.</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800"/>
        <w:gridCol w:w="1980"/>
      </w:tblGrid>
      <w:tr w:rsidR="0054238A" w:rsidTr="00873F2B">
        <w:tc>
          <w:tcPr>
            <w:tcW w:w="1368" w:type="dxa"/>
          </w:tcPr>
          <w:p w:rsidR="0054238A" w:rsidRDefault="0054238A" w:rsidP="00873F2B">
            <w:pPr>
              <w:rPr>
                <w:b/>
                <w:szCs w:val="22"/>
              </w:rPr>
            </w:pPr>
            <w:r>
              <w:rPr>
                <w:b/>
                <w:szCs w:val="22"/>
              </w:rPr>
              <w:t>Wet</w:t>
            </w:r>
          </w:p>
        </w:tc>
        <w:tc>
          <w:tcPr>
            <w:tcW w:w="1800" w:type="dxa"/>
          </w:tcPr>
          <w:p w:rsidR="0054238A" w:rsidRDefault="0054238A" w:rsidP="00873F2B">
            <w:pPr>
              <w:rPr>
                <w:b/>
                <w:szCs w:val="22"/>
              </w:rPr>
            </w:pPr>
            <w:r>
              <w:rPr>
                <w:b/>
                <w:szCs w:val="22"/>
              </w:rPr>
              <w:t>Verzekerd vanaf</w:t>
            </w:r>
          </w:p>
        </w:tc>
        <w:tc>
          <w:tcPr>
            <w:tcW w:w="1980" w:type="dxa"/>
          </w:tcPr>
          <w:p w:rsidR="0054238A" w:rsidRDefault="0054238A" w:rsidP="00873F2B">
            <w:pPr>
              <w:rPr>
                <w:b/>
                <w:szCs w:val="22"/>
              </w:rPr>
            </w:pPr>
            <w:r>
              <w:rPr>
                <w:b/>
                <w:szCs w:val="22"/>
              </w:rPr>
              <w:t>Einde verzekering</w:t>
            </w:r>
          </w:p>
        </w:tc>
      </w:tr>
      <w:tr w:rsidR="0054238A" w:rsidTr="00873F2B">
        <w:tc>
          <w:tcPr>
            <w:tcW w:w="1368" w:type="dxa"/>
          </w:tcPr>
          <w:p w:rsidR="0054238A" w:rsidRDefault="0054238A" w:rsidP="00873F2B">
            <w:pPr>
              <w:rPr>
                <w:szCs w:val="22"/>
              </w:rPr>
            </w:pPr>
            <w:r>
              <w:rPr>
                <w:szCs w:val="22"/>
              </w:rPr>
              <w:t>ZW</w:t>
            </w:r>
          </w:p>
        </w:tc>
        <w:tc>
          <w:tcPr>
            <w:tcW w:w="1800" w:type="dxa"/>
          </w:tcPr>
          <w:p w:rsidR="0054238A" w:rsidRDefault="0054238A" w:rsidP="00873F2B">
            <w:pPr>
              <w:rPr>
                <w:sz w:val="18"/>
                <w:szCs w:val="18"/>
              </w:rPr>
            </w:pPr>
            <w:r>
              <w:rPr>
                <w:sz w:val="18"/>
                <w:szCs w:val="18"/>
              </w:rPr>
              <w:t>aanvang dienstbetrekking</w:t>
            </w:r>
          </w:p>
        </w:tc>
        <w:tc>
          <w:tcPr>
            <w:tcW w:w="1980" w:type="dxa"/>
          </w:tcPr>
          <w:p w:rsidR="0054238A" w:rsidRDefault="0054238A" w:rsidP="00873F2B">
            <w:pPr>
              <w:rPr>
                <w:sz w:val="18"/>
                <w:szCs w:val="18"/>
              </w:rPr>
            </w:pPr>
            <w:r>
              <w:rPr>
                <w:sz w:val="18"/>
                <w:szCs w:val="18"/>
              </w:rPr>
              <w:t>einde dienstbetrekking</w:t>
            </w:r>
          </w:p>
          <w:p w:rsidR="0054238A" w:rsidRDefault="0054238A" w:rsidP="00873F2B">
            <w:pPr>
              <w:rPr>
                <w:sz w:val="18"/>
                <w:szCs w:val="18"/>
              </w:rPr>
            </w:pPr>
            <w:r>
              <w:rPr>
                <w:sz w:val="18"/>
                <w:szCs w:val="18"/>
              </w:rPr>
              <w:t>AOW-leeftijd</w:t>
            </w:r>
          </w:p>
          <w:p w:rsidR="0054238A" w:rsidRDefault="0054238A" w:rsidP="00873F2B">
            <w:pPr>
              <w:rPr>
                <w:sz w:val="18"/>
                <w:szCs w:val="18"/>
              </w:rPr>
            </w:pPr>
            <w:r>
              <w:rPr>
                <w:sz w:val="18"/>
                <w:szCs w:val="18"/>
              </w:rPr>
              <w:t>pensioen voor AOW-leeftijd</w:t>
            </w:r>
          </w:p>
          <w:p w:rsidR="0054238A" w:rsidRDefault="0054238A" w:rsidP="00873F2B">
            <w:pPr>
              <w:rPr>
                <w:sz w:val="18"/>
                <w:szCs w:val="18"/>
              </w:rPr>
            </w:pPr>
            <w:r>
              <w:rPr>
                <w:sz w:val="18"/>
                <w:szCs w:val="18"/>
              </w:rPr>
              <w:t>overlijden</w:t>
            </w:r>
          </w:p>
        </w:tc>
      </w:tr>
      <w:tr w:rsidR="0054238A" w:rsidTr="00873F2B">
        <w:tc>
          <w:tcPr>
            <w:tcW w:w="1368" w:type="dxa"/>
          </w:tcPr>
          <w:p w:rsidR="0054238A" w:rsidRDefault="0054238A" w:rsidP="00873F2B">
            <w:pPr>
              <w:rPr>
                <w:szCs w:val="22"/>
              </w:rPr>
            </w:pPr>
            <w:r>
              <w:rPr>
                <w:szCs w:val="22"/>
              </w:rPr>
              <w:t>WW</w:t>
            </w:r>
          </w:p>
        </w:tc>
        <w:tc>
          <w:tcPr>
            <w:tcW w:w="1800" w:type="dxa"/>
          </w:tcPr>
          <w:p w:rsidR="0054238A" w:rsidRDefault="0054238A" w:rsidP="00873F2B">
            <w:pPr>
              <w:rPr>
                <w:sz w:val="18"/>
                <w:szCs w:val="18"/>
              </w:rPr>
            </w:pPr>
            <w:r>
              <w:rPr>
                <w:sz w:val="18"/>
                <w:szCs w:val="18"/>
              </w:rPr>
              <w:t>aanvang dienstbetrekking</w:t>
            </w:r>
          </w:p>
        </w:tc>
        <w:tc>
          <w:tcPr>
            <w:tcW w:w="1980" w:type="dxa"/>
          </w:tcPr>
          <w:p w:rsidR="0054238A" w:rsidRDefault="0054238A" w:rsidP="00873F2B">
            <w:pPr>
              <w:rPr>
                <w:sz w:val="18"/>
                <w:szCs w:val="18"/>
              </w:rPr>
            </w:pPr>
            <w:r>
              <w:rPr>
                <w:sz w:val="18"/>
                <w:szCs w:val="18"/>
              </w:rPr>
              <w:t>einde dienstbetrekking</w:t>
            </w:r>
          </w:p>
          <w:p w:rsidR="0054238A" w:rsidRDefault="0054238A" w:rsidP="00873F2B">
            <w:pPr>
              <w:rPr>
                <w:sz w:val="18"/>
                <w:szCs w:val="18"/>
              </w:rPr>
            </w:pPr>
            <w:r>
              <w:rPr>
                <w:sz w:val="18"/>
                <w:szCs w:val="18"/>
              </w:rPr>
              <w:t>AOW-leeftijd</w:t>
            </w:r>
          </w:p>
          <w:p w:rsidR="0054238A" w:rsidRDefault="0054238A" w:rsidP="00873F2B">
            <w:pPr>
              <w:rPr>
                <w:sz w:val="18"/>
                <w:szCs w:val="18"/>
              </w:rPr>
            </w:pPr>
            <w:r>
              <w:rPr>
                <w:sz w:val="18"/>
                <w:szCs w:val="18"/>
              </w:rPr>
              <w:t>pensioen voor AOW-leeftijd</w:t>
            </w:r>
          </w:p>
          <w:p w:rsidR="0054238A" w:rsidRDefault="0054238A" w:rsidP="00873F2B">
            <w:pPr>
              <w:rPr>
                <w:sz w:val="18"/>
                <w:szCs w:val="18"/>
              </w:rPr>
            </w:pPr>
            <w:r>
              <w:rPr>
                <w:sz w:val="18"/>
                <w:szCs w:val="18"/>
              </w:rPr>
              <w:t>overlijden</w:t>
            </w:r>
          </w:p>
        </w:tc>
      </w:tr>
      <w:tr w:rsidR="0054238A" w:rsidTr="00873F2B">
        <w:tc>
          <w:tcPr>
            <w:tcW w:w="1368" w:type="dxa"/>
          </w:tcPr>
          <w:p w:rsidR="0054238A" w:rsidRDefault="0054238A" w:rsidP="00873F2B">
            <w:pPr>
              <w:rPr>
                <w:szCs w:val="22"/>
              </w:rPr>
            </w:pPr>
            <w:r>
              <w:rPr>
                <w:szCs w:val="22"/>
              </w:rPr>
              <w:t>WIA</w:t>
            </w:r>
          </w:p>
        </w:tc>
        <w:tc>
          <w:tcPr>
            <w:tcW w:w="1800" w:type="dxa"/>
          </w:tcPr>
          <w:p w:rsidR="0054238A" w:rsidRDefault="0054238A" w:rsidP="00873F2B">
            <w:pPr>
              <w:rPr>
                <w:sz w:val="18"/>
                <w:szCs w:val="18"/>
              </w:rPr>
            </w:pPr>
            <w:r>
              <w:rPr>
                <w:sz w:val="18"/>
                <w:szCs w:val="18"/>
              </w:rPr>
              <w:t>aanvang dienstbetrekking</w:t>
            </w:r>
          </w:p>
        </w:tc>
        <w:tc>
          <w:tcPr>
            <w:tcW w:w="1980" w:type="dxa"/>
          </w:tcPr>
          <w:p w:rsidR="0054238A" w:rsidRDefault="0054238A" w:rsidP="00873F2B">
            <w:pPr>
              <w:rPr>
                <w:sz w:val="18"/>
                <w:szCs w:val="18"/>
              </w:rPr>
            </w:pPr>
            <w:r>
              <w:rPr>
                <w:sz w:val="18"/>
                <w:szCs w:val="18"/>
              </w:rPr>
              <w:t>einde dienstbetrekking</w:t>
            </w:r>
          </w:p>
          <w:p w:rsidR="0054238A" w:rsidRDefault="0054238A" w:rsidP="00873F2B">
            <w:pPr>
              <w:rPr>
                <w:sz w:val="18"/>
                <w:szCs w:val="18"/>
              </w:rPr>
            </w:pPr>
            <w:r>
              <w:rPr>
                <w:sz w:val="18"/>
                <w:szCs w:val="18"/>
              </w:rPr>
              <w:t>AOW-leeftijd</w:t>
            </w:r>
          </w:p>
          <w:p w:rsidR="0054238A" w:rsidRDefault="0054238A" w:rsidP="00873F2B">
            <w:pPr>
              <w:rPr>
                <w:sz w:val="18"/>
                <w:szCs w:val="18"/>
              </w:rPr>
            </w:pPr>
            <w:r>
              <w:rPr>
                <w:sz w:val="18"/>
                <w:szCs w:val="18"/>
              </w:rPr>
              <w:t>pensioen voor AOW-leeftijd</w:t>
            </w:r>
          </w:p>
          <w:p w:rsidR="0054238A" w:rsidRDefault="0054238A" w:rsidP="00873F2B">
            <w:pPr>
              <w:rPr>
                <w:sz w:val="18"/>
                <w:szCs w:val="18"/>
              </w:rPr>
            </w:pPr>
            <w:r>
              <w:rPr>
                <w:sz w:val="18"/>
                <w:szCs w:val="18"/>
              </w:rPr>
              <w:t>overlijden</w:t>
            </w:r>
          </w:p>
        </w:tc>
      </w:tr>
      <w:tr w:rsidR="0054238A" w:rsidTr="00873F2B">
        <w:tc>
          <w:tcPr>
            <w:tcW w:w="1368" w:type="dxa"/>
          </w:tcPr>
          <w:p w:rsidR="0054238A" w:rsidRDefault="0054238A" w:rsidP="00873F2B">
            <w:pPr>
              <w:rPr>
                <w:szCs w:val="22"/>
              </w:rPr>
            </w:pPr>
            <w:r>
              <w:rPr>
                <w:szCs w:val="22"/>
              </w:rPr>
              <w:t>Zvw</w:t>
            </w:r>
          </w:p>
        </w:tc>
        <w:tc>
          <w:tcPr>
            <w:tcW w:w="1800" w:type="dxa"/>
          </w:tcPr>
          <w:p w:rsidR="0054238A" w:rsidRDefault="0054238A" w:rsidP="00873F2B">
            <w:pPr>
              <w:rPr>
                <w:sz w:val="18"/>
                <w:szCs w:val="18"/>
              </w:rPr>
            </w:pPr>
            <w:r>
              <w:rPr>
                <w:sz w:val="18"/>
                <w:szCs w:val="18"/>
              </w:rPr>
              <w:t>verplichte inschrijving door ouders na geboorte *</w:t>
            </w:r>
          </w:p>
        </w:tc>
        <w:tc>
          <w:tcPr>
            <w:tcW w:w="1980" w:type="dxa"/>
          </w:tcPr>
          <w:p w:rsidR="0054238A" w:rsidRDefault="0054238A" w:rsidP="00873F2B">
            <w:pPr>
              <w:rPr>
                <w:sz w:val="18"/>
                <w:szCs w:val="18"/>
              </w:rPr>
            </w:pPr>
            <w:r>
              <w:rPr>
                <w:sz w:val="18"/>
                <w:szCs w:val="18"/>
              </w:rPr>
              <w:t>overlijden</w:t>
            </w:r>
          </w:p>
        </w:tc>
      </w:tr>
      <w:tr w:rsidR="0054238A" w:rsidTr="00873F2B">
        <w:trPr>
          <w:trHeight w:val="340"/>
        </w:trPr>
        <w:tc>
          <w:tcPr>
            <w:tcW w:w="1368" w:type="dxa"/>
          </w:tcPr>
          <w:p w:rsidR="0054238A" w:rsidRDefault="0054238A" w:rsidP="00873F2B">
            <w:pPr>
              <w:rPr>
                <w:szCs w:val="22"/>
              </w:rPr>
            </w:pPr>
            <w:r>
              <w:rPr>
                <w:szCs w:val="22"/>
              </w:rPr>
              <w:t>AOW</w:t>
            </w:r>
          </w:p>
        </w:tc>
        <w:tc>
          <w:tcPr>
            <w:tcW w:w="1800" w:type="dxa"/>
          </w:tcPr>
          <w:p w:rsidR="0054238A" w:rsidRDefault="0054238A" w:rsidP="00873F2B">
            <w:pPr>
              <w:rPr>
                <w:sz w:val="18"/>
                <w:szCs w:val="18"/>
              </w:rPr>
            </w:pPr>
            <w:r>
              <w:rPr>
                <w:sz w:val="18"/>
                <w:szCs w:val="18"/>
              </w:rPr>
              <w:t>geboorte</w:t>
            </w:r>
          </w:p>
        </w:tc>
        <w:tc>
          <w:tcPr>
            <w:tcW w:w="1980" w:type="dxa"/>
          </w:tcPr>
          <w:p w:rsidR="0054238A" w:rsidRDefault="0054238A" w:rsidP="00873F2B">
            <w:r>
              <w:rPr>
                <w:sz w:val="18"/>
                <w:szCs w:val="18"/>
              </w:rPr>
              <w:t>overlijden</w:t>
            </w:r>
          </w:p>
        </w:tc>
      </w:tr>
      <w:tr w:rsidR="0054238A" w:rsidTr="00873F2B">
        <w:trPr>
          <w:trHeight w:val="340"/>
        </w:trPr>
        <w:tc>
          <w:tcPr>
            <w:tcW w:w="1368" w:type="dxa"/>
          </w:tcPr>
          <w:p w:rsidR="0054238A" w:rsidRDefault="0054238A" w:rsidP="00873F2B">
            <w:pPr>
              <w:rPr>
                <w:szCs w:val="22"/>
              </w:rPr>
            </w:pPr>
            <w:r>
              <w:rPr>
                <w:szCs w:val="22"/>
              </w:rPr>
              <w:t>Anw</w:t>
            </w:r>
          </w:p>
        </w:tc>
        <w:tc>
          <w:tcPr>
            <w:tcW w:w="1800" w:type="dxa"/>
          </w:tcPr>
          <w:p w:rsidR="0054238A" w:rsidRDefault="0054238A" w:rsidP="00873F2B">
            <w:r>
              <w:rPr>
                <w:sz w:val="18"/>
                <w:szCs w:val="18"/>
              </w:rPr>
              <w:t>geboorte</w:t>
            </w:r>
          </w:p>
        </w:tc>
        <w:tc>
          <w:tcPr>
            <w:tcW w:w="1980" w:type="dxa"/>
          </w:tcPr>
          <w:p w:rsidR="0054238A" w:rsidRDefault="0054238A" w:rsidP="00873F2B">
            <w:r>
              <w:rPr>
                <w:sz w:val="18"/>
                <w:szCs w:val="18"/>
              </w:rPr>
              <w:t>overlijden</w:t>
            </w:r>
          </w:p>
        </w:tc>
      </w:tr>
      <w:tr w:rsidR="0054238A" w:rsidTr="00873F2B">
        <w:trPr>
          <w:trHeight w:val="340"/>
        </w:trPr>
        <w:tc>
          <w:tcPr>
            <w:tcW w:w="1368" w:type="dxa"/>
          </w:tcPr>
          <w:p w:rsidR="0054238A" w:rsidRDefault="0054238A" w:rsidP="00873F2B">
            <w:pPr>
              <w:rPr>
                <w:szCs w:val="22"/>
              </w:rPr>
            </w:pPr>
            <w:r>
              <w:rPr>
                <w:szCs w:val="22"/>
              </w:rPr>
              <w:t>AKW</w:t>
            </w:r>
          </w:p>
        </w:tc>
        <w:tc>
          <w:tcPr>
            <w:tcW w:w="1800" w:type="dxa"/>
          </w:tcPr>
          <w:p w:rsidR="0054238A" w:rsidRDefault="0054238A" w:rsidP="00873F2B">
            <w:r>
              <w:rPr>
                <w:sz w:val="18"/>
                <w:szCs w:val="18"/>
              </w:rPr>
              <w:t>geboorte</w:t>
            </w:r>
          </w:p>
        </w:tc>
        <w:tc>
          <w:tcPr>
            <w:tcW w:w="1980" w:type="dxa"/>
          </w:tcPr>
          <w:p w:rsidR="0054238A" w:rsidRDefault="0054238A" w:rsidP="00873F2B">
            <w:r>
              <w:rPr>
                <w:sz w:val="18"/>
                <w:szCs w:val="18"/>
              </w:rPr>
              <w:t>overlijden</w:t>
            </w:r>
          </w:p>
        </w:tc>
      </w:tr>
      <w:tr w:rsidR="0054238A" w:rsidTr="00873F2B">
        <w:trPr>
          <w:trHeight w:val="340"/>
        </w:trPr>
        <w:tc>
          <w:tcPr>
            <w:tcW w:w="1368" w:type="dxa"/>
          </w:tcPr>
          <w:p w:rsidR="0054238A" w:rsidRDefault="0054238A" w:rsidP="00873F2B">
            <w:pPr>
              <w:rPr>
                <w:szCs w:val="22"/>
              </w:rPr>
            </w:pPr>
            <w:r>
              <w:rPr>
                <w:szCs w:val="22"/>
              </w:rPr>
              <w:t>Wlz</w:t>
            </w:r>
          </w:p>
        </w:tc>
        <w:tc>
          <w:tcPr>
            <w:tcW w:w="1800" w:type="dxa"/>
          </w:tcPr>
          <w:p w:rsidR="0054238A" w:rsidRDefault="0054238A" w:rsidP="00873F2B">
            <w:r>
              <w:rPr>
                <w:sz w:val="18"/>
                <w:szCs w:val="18"/>
              </w:rPr>
              <w:t>geboorte</w:t>
            </w:r>
          </w:p>
        </w:tc>
        <w:tc>
          <w:tcPr>
            <w:tcW w:w="1980" w:type="dxa"/>
          </w:tcPr>
          <w:p w:rsidR="0054238A" w:rsidRDefault="0054238A" w:rsidP="00873F2B">
            <w:r>
              <w:rPr>
                <w:sz w:val="18"/>
                <w:szCs w:val="18"/>
              </w:rPr>
              <w:t>overlijden</w:t>
            </w:r>
          </w:p>
        </w:tc>
      </w:tr>
      <w:tr w:rsidR="0054238A" w:rsidTr="00873F2B">
        <w:tc>
          <w:tcPr>
            <w:tcW w:w="1368" w:type="dxa"/>
          </w:tcPr>
          <w:p w:rsidR="0054238A" w:rsidRDefault="0054238A" w:rsidP="00873F2B">
            <w:pPr>
              <w:rPr>
                <w:szCs w:val="22"/>
              </w:rPr>
            </w:pPr>
            <w:r>
              <w:rPr>
                <w:szCs w:val="22"/>
              </w:rPr>
              <w:t>Wajong</w:t>
            </w:r>
          </w:p>
        </w:tc>
        <w:tc>
          <w:tcPr>
            <w:tcW w:w="1800" w:type="dxa"/>
          </w:tcPr>
          <w:p w:rsidR="0054238A" w:rsidRDefault="0054238A" w:rsidP="00873F2B">
            <w:r>
              <w:rPr>
                <w:sz w:val="18"/>
                <w:szCs w:val="18"/>
              </w:rPr>
              <w:t>geboorte</w:t>
            </w:r>
          </w:p>
        </w:tc>
        <w:tc>
          <w:tcPr>
            <w:tcW w:w="1980" w:type="dxa"/>
          </w:tcPr>
          <w:p w:rsidR="0054238A" w:rsidRDefault="0054238A" w:rsidP="00873F2B">
            <w:pPr>
              <w:rPr>
                <w:sz w:val="18"/>
                <w:szCs w:val="18"/>
              </w:rPr>
            </w:pPr>
            <w:r>
              <w:rPr>
                <w:sz w:val="18"/>
                <w:szCs w:val="18"/>
              </w:rPr>
              <w:t>overlijden</w:t>
            </w:r>
          </w:p>
          <w:p w:rsidR="0054238A" w:rsidRDefault="0054238A" w:rsidP="00873F2B">
            <w:pPr>
              <w:rPr>
                <w:sz w:val="18"/>
                <w:szCs w:val="18"/>
              </w:rPr>
            </w:pPr>
            <w:r>
              <w:rPr>
                <w:sz w:val="18"/>
                <w:szCs w:val="18"/>
              </w:rPr>
              <w:t>30 jaar</w:t>
            </w:r>
          </w:p>
        </w:tc>
      </w:tr>
    </w:tbl>
    <w:p w:rsidR="0054238A" w:rsidRDefault="0054238A" w:rsidP="0054238A">
      <w:pPr>
        <w:pStyle w:val="Tekstzonderopmaak"/>
        <w:ind w:left="708" w:hanging="708"/>
        <w:rPr>
          <w:rFonts w:ascii="Times New Roman" w:hAnsi="Times New Roman"/>
          <w:sz w:val="22"/>
          <w:szCs w:val="22"/>
        </w:rPr>
      </w:pPr>
    </w:p>
    <w:p w:rsidR="0054238A" w:rsidRDefault="0054238A" w:rsidP="0054238A">
      <w:pPr>
        <w:ind w:left="708" w:hanging="708"/>
        <w:rPr>
          <w:szCs w:val="22"/>
        </w:rPr>
      </w:pPr>
      <w:r>
        <w:rPr>
          <w:szCs w:val="22"/>
        </w:rPr>
        <w:t>*</w:t>
      </w:r>
      <w:r>
        <w:rPr>
          <w:szCs w:val="22"/>
        </w:rPr>
        <w:tab/>
        <w:t>Zie art. 2 lid 3 Zvw. Hieruit blijkt dat een kind na geboorte verzekeringsplichtig is, maar pas verzekerd is na aanmelding bij een zorgverzekeraar door de ouders</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Schema 2</w:t>
      </w:r>
    </w:p>
    <w:p w:rsidR="0054238A" w:rsidRDefault="0054238A" w:rsidP="0054238A">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2106"/>
        <w:gridCol w:w="2289"/>
      </w:tblGrid>
      <w:tr w:rsidR="0054238A" w:rsidTr="00873F2B">
        <w:tc>
          <w:tcPr>
            <w:tcW w:w="1242" w:type="dxa"/>
          </w:tcPr>
          <w:p w:rsidR="0054238A" w:rsidRDefault="0054238A" w:rsidP="00873F2B">
            <w:pPr>
              <w:rPr>
                <w:b/>
                <w:szCs w:val="22"/>
              </w:rPr>
            </w:pPr>
            <w:r>
              <w:rPr>
                <w:b/>
                <w:szCs w:val="22"/>
              </w:rPr>
              <w:t>Wet</w:t>
            </w:r>
          </w:p>
        </w:tc>
        <w:tc>
          <w:tcPr>
            <w:tcW w:w="2106" w:type="dxa"/>
          </w:tcPr>
          <w:p w:rsidR="0054238A" w:rsidRDefault="0054238A" w:rsidP="00873F2B">
            <w:pPr>
              <w:rPr>
                <w:b/>
                <w:szCs w:val="22"/>
              </w:rPr>
            </w:pPr>
            <w:r>
              <w:rPr>
                <w:b/>
                <w:szCs w:val="22"/>
              </w:rPr>
              <w:t>Werknemers/</w:t>
            </w:r>
          </w:p>
          <w:p w:rsidR="0054238A" w:rsidRDefault="0054238A" w:rsidP="00873F2B">
            <w:pPr>
              <w:rPr>
                <w:b/>
                <w:szCs w:val="22"/>
              </w:rPr>
            </w:pPr>
            <w:r>
              <w:rPr>
                <w:b/>
                <w:szCs w:val="22"/>
              </w:rPr>
              <w:t>Volksverzekering</w:t>
            </w:r>
          </w:p>
        </w:tc>
        <w:tc>
          <w:tcPr>
            <w:tcW w:w="2289" w:type="dxa"/>
          </w:tcPr>
          <w:p w:rsidR="0054238A" w:rsidRDefault="0054238A" w:rsidP="00873F2B">
            <w:pPr>
              <w:rPr>
                <w:b/>
                <w:szCs w:val="22"/>
              </w:rPr>
            </w:pPr>
            <w:r>
              <w:rPr>
                <w:b/>
                <w:szCs w:val="22"/>
              </w:rPr>
              <w:t>Uitvoeringsinstantie</w:t>
            </w:r>
          </w:p>
          <w:p w:rsidR="0054238A" w:rsidRDefault="0054238A" w:rsidP="00873F2B">
            <w:pPr>
              <w:rPr>
                <w:b/>
                <w:szCs w:val="22"/>
              </w:rPr>
            </w:pPr>
          </w:p>
        </w:tc>
      </w:tr>
      <w:tr w:rsidR="0054238A" w:rsidTr="00873F2B">
        <w:tc>
          <w:tcPr>
            <w:tcW w:w="1242" w:type="dxa"/>
          </w:tcPr>
          <w:p w:rsidR="0054238A" w:rsidRDefault="0054238A" w:rsidP="00873F2B">
            <w:pPr>
              <w:rPr>
                <w:szCs w:val="22"/>
              </w:rPr>
            </w:pPr>
            <w:r>
              <w:rPr>
                <w:szCs w:val="22"/>
              </w:rPr>
              <w:t>ZW</w:t>
            </w:r>
          </w:p>
        </w:tc>
        <w:tc>
          <w:tcPr>
            <w:tcW w:w="2106" w:type="dxa"/>
          </w:tcPr>
          <w:p w:rsidR="0054238A" w:rsidRDefault="0054238A" w:rsidP="00873F2B">
            <w:pPr>
              <w:rPr>
                <w:sz w:val="18"/>
                <w:szCs w:val="18"/>
              </w:rPr>
            </w:pPr>
            <w:r>
              <w:rPr>
                <w:sz w:val="18"/>
                <w:szCs w:val="18"/>
              </w:rPr>
              <w:t>werknemersverzekering</w:t>
            </w:r>
          </w:p>
        </w:tc>
        <w:tc>
          <w:tcPr>
            <w:tcW w:w="2289" w:type="dxa"/>
          </w:tcPr>
          <w:p w:rsidR="0054238A" w:rsidRDefault="0054238A" w:rsidP="00873F2B">
            <w:pPr>
              <w:rPr>
                <w:sz w:val="18"/>
                <w:szCs w:val="18"/>
              </w:rPr>
            </w:pPr>
            <w:r>
              <w:rPr>
                <w:sz w:val="18"/>
                <w:szCs w:val="18"/>
              </w:rPr>
              <w:t>UWV</w:t>
            </w:r>
          </w:p>
        </w:tc>
      </w:tr>
      <w:tr w:rsidR="0054238A" w:rsidTr="00873F2B">
        <w:trPr>
          <w:trHeight w:val="340"/>
        </w:trPr>
        <w:tc>
          <w:tcPr>
            <w:tcW w:w="1242" w:type="dxa"/>
          </w:tcPr>
          <w:p w:rsidR="0054238A" w:rsidRDefault="0054238A" w:rsidP="00873F2B">
            <w:pPr>
              <w:rPr>
                <w:szCs w:val="22"/>
              </w:rPr>
            </w:pPr>
            <w:r>
              <w:rPr>
                <w:szCs w:val="22"/>
              </w:rPr>
              <w:t>WW</w:t>
            </w:r>
          </w:p>
        </w:tc>
        <w:tc>
          <w:tcPr>
            <w:tcW w:w="2106" w:type="dxa"/>
          </w:tcPr>
          <w:p w:rsidR="0054238A" w:rsidRDefault="0054238A" w:rsidP="00873F2B">
            <w:r>
              <w:rPr>
                <w:sz w:val="18"/>
                <w:szCs w:val="18"/>
              </w:rPr>
              <w:t>werknemersverzekering</w:t>
            </w:r>
          </w:p>
        </w:tc>
        <w:tc>
          <w:tcPr>
            <w:tcW w:w="2289" w:type="dxa"/>
          </w:tcPr>
          <w:p w:rsidR="0054238A" w:rsidRDefault="0054238A" w:rsidP="00873F2B">
            <w:pPr>
              <w:rPr>
                <w:sz w:val="18"/>
                <w:szCs w:val="18"/>
              </w:rPr>
            </w:pPr>
            <w:r>
              <w:rPr>
                <w:sz w:val="18"/>
                <w:szCs w:val="18"/>
              </w:rPr>
              <w:t>UWV</w:t>
            </w:r>
          </w:p>
        </w:tc>
      </w:tr>
      <w:tr w:rsidR="0054238A" w:rsidTr="00873F2B">
        <w:trPr>
          <w:trHeight w:val="340"/>
        </w:trPr>
        <w:tc>
          <w:tcPr>
            <w:tcW w:w="1242" w:type="dxa"/>
          </w:tcPr>
          <w:p w:rsidR="0054238A" w:rsidRDefault="0054238A" w:rsidP="00873F2B">
            <w:pPr>
              <w:rPr>
                <w:szCs w:val="22"/>
              </w:rPr>
            </w:pPr>
            <w:r>
              <w:rPr>
                <w:szCs w:val="22"/>
              </w:rPr>
              <w:t>WIA</w:t>
            </w:r>
          </w:p>
        </w:tc>
        <w:tc>
          <w:tcPr>
            <w:tcW w:w="2106" w:type="dxa"/>
          </w:tcPr>
          <w:p w:rsidR="0054238A" w:rsidRDefault="0054238A" w:rsidP="00873F2B">
            <w:r>
              <w:rPr>
                <w:sz w:val="18"/>
                <w:szCs w:val="18"/>
              </w:rPr>
              <w:t>werknemersverzekering</w:t>
            </w:r>
          </w:p>
        </w:tc>
        <w:tc>
          <w:tcPr>
            <w:tcW w:w="2289" w:type="dxa"/>
          </w:tcPr>
          <w:p w:rsidR="0054238A" w:rsidRDefault="0054238A" w:rsidP="00873F2B">
            <w:pPr>
              <w:rPr>
                <w:sz w:val="18"/>
                <w:szCs w:val="18"/>
              </w:rPr>
            </w:pPr>
            <w:r>
              <w:rPr>
                <w:sz w:val="18"/>
                <w:szCs w:val="18"/>
              </w:rPr>
              <w:t>UWV</w:t>
            </w:r>
          </w:p>
        </w:tc>
      </w:tr>
      <w:tr w:rsidR="0054238A" w:rsidTr="00873F2B">
        <w:trPr>
          <w:trHeight w:val="340"/>
        </w:trPr>
        <w:tc>
          <w:tcPr>
            <w:tcW w:w="1242" w:type="dxa"/>
          </w:tcPr>
          <w:p w:rsidR="0054238A" w:rsidRDefault="0054238A" w:rsidP="00873F2B">
            <w:pPr>
              <w:rPr>
                <w:szCs w:val="22"/>
              </w:rPr>
            </w:pPr>
            <w:r>
              <w:rPr>
                <w:szCs w:val="22"/>
              </w:rPr>
              <w:t>Zvw</w:t>
            </w:r>
          </w:p>
        </w:tc>
        <w:tc>
          <w:tcPr>
            <w:tcW w:w="2106" w:type="dxa"/>
          </w:tcPr>
          <w:p w:rsidR="0054238A" w:rsidRDefault="0054238A" w:rsidP="00873F2B">
            <w:pPr>
              <w:rPr>
                <w:sz w:val="18"/>
                <w:szCs w:val="18"/>
              </w:rPr>
            </w:pPr>
            <w:r>
              <w:rPr>
                <w:sz w:val="18"/>
                <w:szCs w:val="18"/>
              </w:rPr>
              <w:t>*</w:t>
            </w:r>
          </w:p>
        </w:tc>
        <w:tc>
          <w:tcPr>
            <w:tcW w:w="2289" w:type="dxa"/>
          </w:tcPr>
          <w:p w:rsidR="0054238A" w:rsidRDefault="0054238A" w:rsidP="00873F2B">
            <w:pPr>
              <w:rPr>
                <w:sz w:val="18"/>
                <w:szCs w:val="18"/>
              </w:rPr>
            </w:pPr>
            <w:r>
              <w:rPr>
                <w:sz w:val="18"/>
                <w:szCs w:val="18"/>
              </w:rPr>
              <w:t>Zorgverzekeraar</w:t>
            </w:r>
          </w:p>
        </w:tc>
      </w:tr>
      <w:tr w:rsidR="0054238A" w:rsidTr="00873F2B">
        <w:trPr>
          <w:trHeight w:val="340"/>
        </w:trPr>
        <w:tc>
          <w:tcPr>
            <w:tcW w:w="1242" w:type="dxa"/>
          </w:tcPr>
          <w:p w:rsidR="0054238A" w:rsidRDefault="0054238A" w:rsidP="00873F2B">
            <w:pPr>
              <w:rPr>
                <w:szCs w:val="22"/>
              </w:rPr>
            </w:pPr>
            <w:r>
              <w:rPr>
                <w:szCs w:val="22"/>
              </w:rPr>
              <w:t>AOW</w:t>
            </w:r>
          </w:p>
        </w:tc>
        <w:tc>
          <w:tcPr>
            <w:tcW w:w="2106" w:type="dxa"/>
          </w:tcPr>
          <w:p w:rsidR="0054238A" w:rsidRDefault="0054238A" w:rsidP="00873F2B">
            <w:pPr>
              <w:rPr>
                <w:sz w:val="18"/>
                <w:szCs w:val="18"/>
              </w:rPr>
            </w:pPr>
            <w:r>
              <w:rPr>
                <w:sz w:val="18"/>
                <w:szCs w:val="18"/>
              </w:rPr>
              <w:t>volksverzekering</w:t>
            </w:r>
          </w:p>
        </w:tc>
        <w:tc>
          <w:tcPr>
            <w:tcW w:w="2289" w:type="dxa"/>
          </w:tcPr>
          <w:p w:rsidR="0054238A" w:rsidRDefault="0054238A" w:rsidP="00873F2B">
            <w:pPr>
              <w:rPr>
                <w:sz w:val="18"/>
                <w:szCs w:val="18"/>
              </w:rPr>
            </w:pPr>
            <w:r>
              <w:rPr>
                <w:sz w:val="18"/>
                <w:szCs w:val="18"/>
              </w:rPr>
              <w:t>SVB</w:t>
            </w:r>
          </w:p>
        </w:tc>
      </w:tr>
      <w:tr w:rsidR="0054238A" w:rsidTr="00873F2B">
        <w:trPr>
          <w:trHeight w:val="340"/>
        </w:trPr>
        <w:tc>
          <w:tcPr>
            <w:tcW w:w="1242" w:type="dxa"/>
          </w:tcPr>
          <w:p w:rsidR="0054238A" w:rsidRDefault="0054238A" w:rsidP="00873F2B">
            <w:pPr>
              <w:rPr>
                <w:szCs w:val="22"/>
              </w:rPr>
            </w:pPr>
            <w:r>
              <w:rPr>
                <w:szCs w:val="22"/>
              </w:rPr>
              <w:lastRenderedPageBreak/>
              <w:t>Anw</w:t>
            </w:r>
          </w:p>
        </w:tc>
        <w:tc>
          <w:tcPr>
            <w:tcW w:w="2106" w:type="dxa"/>
          </w:tcPr>
          <w:p w:rsidR="0054238A" w:rsidRDefault="0054238A" w:rsidP="00873F2B">
            <w:r>
              <w:rPr>
                <w:sz w:val="18"/>
                <w:szCs w:val="18"/>
              </w:rPr>
              <w:t>volksverzekering</w:t>
            </w:r>
          </w:p>
        </w:tc>
        <w:tc>
          <w:tcPr>
            <w:tcW w:w="2289" w:type="dxa"/>
          </w:tcPr>
          <w:p w:rsidR="0054238A" w:rsidRDefault="0054238A" w:rsidP="00873F2B">
            <w:pPr>
              <w:rPr>
                <w:sz w:val="18"/>
                <w:szCs w:val="18"/>
              </w:rPr>
            </w:pPr>
            <w:r>
              <w:rPr>
                <w:sz w:val="18"/>
                <w:szCs w:val="18"/>
              </w:rPr>
              <w:t>SVB</w:t>
            </w:r>
          </w:p>
        </w:tc>
      </w:tr>
      <w:tr w:rsidR="0054238A" w:rsidTr="00873F2B">
        <w:trPr>
          <w:trHeight w:val="340"/>
        </w:trPr>
        <w:tc>
          <w:tcPr>
            <w:tcW w:w="1242" w:type="dxa"/>
          </w:tcPr>
          <w:p w:rsidR="0054238A" w:rsidRDefault="0054238A" w:rsidP="00873F2B">
            <w:pPr>
              <w:rPr>
                <w:szCs w:val="22"/>
              </w:rPr>
            </w:pPr>
            <w:r>
              <w:rPr>
                <w:szCs w:val="22"/>
              </w:rPr>
              <w:t>AKW</w:t>
            </w:r>
          </w:p>
        </w:tc>
        <w:tc>
          <w:tcPr>
            <w:tcW w:w="2106" w:type="dxa"/>
          </w:tcPr>
          <w:p w:rsidR="0054238A" w:rsidRDefault="0054238A" w:rsidP="00873F2B">
            <w:r>
              <w:rPr>
                <w:sz w:val="18"/>
                <w:szCs w:val="18"/>
              </w:rPr>
              <w:t>volksverzekering</w:t>
            </w:r>
          </w:p>
        </w:tc>
        <w:tc>
          <w:tcPr>
            <w:tcW w:w="2289" w:type="dxa"/>
          </w:tcPr>
          <w:p w:rsidR="0054238A" w:rsidRDefault="0054238A" w:rsidP="00873F2B">
            <w:pPr>
              <w:rPr>
                <w:sz w:val="18"/>
                <w:szCs w:val="18"/>
              </w:rPr>
            </w:pPr>
            <w:r>
              <w:rPr>
                <w:sz w:val="18"/>
                <w:szCs w:val="18"/>
              </w:rPr>
              <w:t>SVB</w:t>
            </w:r>
          </w:p>
        </w:tc>
      </w:tr>
      <w:tr w:rsidR="0054238A" w:rsidTr="00873F2B">
        <w:trPr>
          <w:trHeight w:val="340"/>
        </w:trPr>
        <w:tc>
          <w:tcPr>
            <w:tcW w:w="1242" w:type="dxa"/>
          </w:tcPr>
          <w:p w:rsidR="0054238A" w:rsidRDefault="0054238A" w:rsidP="00873F2B">
            <w:pPr>
              <w:rPr>
                <w:szCs w:val="22"/>
              </w:rPr>
            </w:pPr>
            <w:r>
              <w:rPr>
                <w:szCs w:val="22"/>
              </w:rPr>
              <w:t>Wlz</w:t>
            </w:r>
          </w:p>
        </w:tc>
        <w:tc>
          <w:tcPr>
            <w:tcW w:w="2106" w:type="dxa"/>
          </w:tcPr>
          <w:p w:rsidR="0054238A" w:rsidRDefault="0054238A" w:rsidP="00873F2B">
            <w:r>
              <w:rPr>
                <w:sz w:val="18"/>
                <w:szCs w:val="18"/>
              </w:rPr>
              <w:t>volksverzekering</w:t>
            </w:r>
          </w:p>
        </w:tc>
        <w:tc>
          <w:tcPr>
            <w:tcW w:w="2289" w:type="dxa"/>
          </w:tcPr>
          <w:p w:rsidR="0054238A" w:rsidRDefault="0054238A" w:rsidP="00873F2B">
            <w:pPr>
              <w:rPr>
                <w:sz w:val="18"/>
                <w:szCs w:val="18"/>
              </w:rPr>
            </w:pPr>
            <w:r>
              <w:rPr>
                <w:sz w:val="18"/>
                <w:szCs w:val="18"/>
              </w:rPr>
              <w:t>Zorgverzekeraar</w:t>
            </w:r>
          </w:p>
        </w:tc>
      </w:tr>
    </w:tbl>
    <w:p w:rsidR="0054238A" w:rsidRDefault="0054238A" w:rsidP="0054238A">
      <w:pPr>
        <w:rPr>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De Zvw hoort niet bij een van deze categorieën, maar komt het meest overeen met een volksverzekering</w:t>
      </w:r>
    </w:p>
    <w:p w:rsidR="0054238A" w:rsidRDefault="0054238A" w:rsidP="0054238A">
      <w:pPr>
        <w:pStyle w:val="Tekstzonderopmaak"/>
        <w:ind w:left="708" w:hanging="708"/>
        <w:rPr>
          <w:rFonts w:ascii="Times New Roman" w:hAnsi="Times New Roman"/>
          <w:sz w:val="22"/>
          <w:szCs w:val="22"/>
        </w:rPr>
      </w:pP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Opgave 17.16</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Zvw is op grond van art. 2 lid 1 Zvw verplicht verzekerd degene die volgens de Wlz van rechtswege verzekerd is. Het betreft:</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t>- alle (legale) ingezetenen van Nederland;</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t>- niet-ingezetenen als zij aan de heffing van loonbelasting zijn onderworpen in verband met binnen Nederland verrichte arbeid.</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Van de verplichte Zvw-verzekering zijn uitgezonderd:</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t xml:space="preserve">- gemoedsbezwaarden (art. 2 lid 2 letter b Zvw); </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t>- vreemdelingen die niet rechtmatig in Nederland verblijven (art. 23 Besluit uitbreiding en beperking kring verzekerden volksverzekeringen 1999);</w:t>
      </w:r>
    </w:p>
    <w:p w:rsidR="0054238A" w:rsidRDefault="0054238A" w:rsidP="0054238A">
      <w:pPr>
        <w:pStyle w:val="Tekstzonderopmaak"/>
        <w:ind w:left="708"/>
        <w:rPr>
          <w:rFonts w:ascii="Times New Roman" w:hAnsi="Times New Roman"/>
          <w:sz w:val="22"/>
          <w:szCs w:val="22"/>
        </w:rPr>
      </w:pPr>
      <w:r>
        <w:rPr>
          <w:rFonts w:ascii="Times New Roman" w:hAnsi="Times New Roman"/>
          <w:sz w:val="22"/>
          <w:szCs w:val="22"/>
        </w:rPr>
        <w:t>- militairen in werkelijke dienst (art. 2 lid 2 letter a Zvw).</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Anton voldoet aan alle eisen voor het reguliere werknemerschap. Hij is dus verzekerd voor ZW, WW, WIA (en Zvw). Zie art. 3 ZW, art. 3 WW, art. 7 WIA.</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Indien Anton geen vergoeding ontvangt, is er geen sprake van een echte dienstbetrekking. Ook heeft hij geen fictieve dienstbetrekking conform het Besluit aanwijzing gevallen waarin de arbeidsverhouding als dienstbetrekking wordt beschouwd. Anton is een ‘gewone’ stagiair. Hij is dan alleen verzekerd voor de Wajong (niet in de wettenpocket) en de Zvw.</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Ja. Art. 2 lid 2 letter b van de Zvw geeft aan dat niet verzekeringsplichtig voor de Zvw is: degenen die ontheven is van de verplichtingen, opgelegd op grond van de Wlz. In de casus is inderdaad gegeven dat Jan Bazel gemoedsbezwaard is voor de volksverzekeringen (dus voor de Wlz).</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erkenning als gemoedsbezwaarde voor de werknemersverzekeringen (maar ook voor de volksverzekeringen) moet ingevolge art. 64 lid 1 WFSV bij de Sociale Verzekeringsbank worden gevraagd.</w:t>
      </w:r>
    </w:p>
    <w:p w:rsidR="0054238A" w:rsidRDefault="0054238A" w:rsidP="0054238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Mevrouw Peper kan een vrijwillige verzekering afsluiten voor de ZW, WIA en WW. Deze verzekeringen moeten worden aangevraagd bij UWV. Zie respectievelijk art. 64 ZW, art. 18 WIA en art. 53 WW.</w:t>
      </w:r>
    </w:p>
    <w:p w:rsidR="0054238A" w:rsidRPr="0098520E" w:rsidRDefault="0054238A" w:rsidP="0054238A">
      <w:pPr>
        <w:pStyle w:val="Tekstzonderopmaak"/>
        <w:ind w:left="708" w:hanging="708"/>
        <w:rPr>
          <w:rFonts w:ascii="Times New Roman" w:hAnsi="Times New Roman"/>
          <w:sz w:val="22"/>
          <w:szCs w:val="22"/>
        </w:rPr>
      </w:pPr>
    </w:p>
    <w:p w:rsidR="00A839A0" w:rsidRDefault="00A839A0"/>
    <w:sectPr w:rsidR="00A839A0" w:rsidSect="00CD2196">
      <w:headerReference w:type="default" r:id="rId6"/>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968" w:rsidRDefault="00C34968" w:rsidP="00C34968">
      <w:r>
        <w:separator/>
      </w:r>
    </w:p>
  </w:endnote>
  <w:endnote w:type="continuationSeparator" w:id="0">
    <w:p w:rsidR="00C34968" w:rsidRDefault="00C34968" w:rsidP="00C34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968" w:rsidRDefault="00C34968" w:rsidP="00C34968">
      <w:r>
        <w:separator/>
      </w:r>
    </w:p>
  </w:footnote>
  <w:footnote w:type="continuationSeparator" w:id="0">
    <w:p w:rsidR="00C34968" w:rsidRDefault="00C34968" w:rsidP="00C34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968" w:rsidRDefault="00C34968" w:rsidP="00C34968">
    <w:pPr>
      <w:pStyle w:val="Tekstzonderopmaak"/>
      <w:ind w:left="708" w:hanging="708"/>
      <w:rPr>
        <w:rFonts w:ascii="Times New Roman" w:hAnsi="Times New Roman"/>
        <w:b/>
        <w:sz w:val="22"/>
        <w:szCs w:val="22"/>
      </w:rPr>
    </w:pPr>
    <w:r>
      <w:rPr>
        <w:rFonts w:ascii="Times New Roman" w:hAnsi="Times New Roman"/>
        <w:b/>
        <w:sz w:val="22"/>
        <w:szCs w:val="22"/>
      </w:rPr>
      <w:t xml:space="preserve">Uitgeverij Convoy </w:t>
    </w:r>
    <w:r>
      <w:rPr>
        <w:rFonts w:ascii="Times New Roman" w:eastAsia="Calibri" w:hAnsi="Times New Roman"/>
        <w:b/>
        <w:sz w:val="22"/>
        <w:szCs w:val="22"/>
      </w:rPr>
      <w:t>©</w:t>
    </w:r>
  </w:p>
  <w:p w:rsidR="00C34968" w:rsidRDefault="00C34968" w:rsidP="00C34968">
    <w:pPr>
      <w:pStyle w:val="Tekstzonderopmaak"/>
      <w:ind w:left="708" w:hanging="708"/>
      <w:rPr>
        <w:rFonts w:ascii="Times New Roman" w:hAnsi="Times New Roman"/>
        <w:b/>
        <w:sz w:val="22"/>
        <w:szCs w:val="22"/>
      </w:rPr>
    </w:pPr>
    <w:r>
      <w:rPr>
        <w:rFonts w:ascii="Times New Roman" w:hAnsi="Times New Roman"/>
        <w:b/>
        <w:sz w:val="22"/>
        <w:szCs w:val="22"/>
      </w:rPr>
      <w:t>Uitwerkingen hoofdstuk 17 VPS ASZ niveau 5, 2016 - 2017</w:t>
    </w:r>
  </w:p>
  <w:p w:rsidR="00C34968" w:rsidRDefault="00C34968" w:rsidP="00C34968">
    <w:pPr>
      <w:pStyle w:val="Tekstzonderopmaak"/>
      <w:ind w:left="708" w:hanging="708"/>
      <w:rPr>
        <w:rFonts w:ascii="Times New Roman" w:hAnsi="Times New Roman"/>
        <w:b/>
        <w:i/>
        <w:sz w:val="22"/>
        <w:szCs w:val="22"/>
      </w:rPr>
    </w:pPr>
    <w:r>
      <w:rPr>
        <w:rFonts w:ascii="Times New Roman" w:hAnsi="Times New Roman"/>
        <w:b/>
        <w:i/>
        <w:sz w:val="22"/>
        <w:szCs w:val="22"/>
      </w:rPr>
      <w:t>(ten behoeve van Associatie-examens vanaf september 2016)</w:t>
    </w:r>
  </w:p>
  <w:p w:rsidR="00C34968" w:rsidRDefault="00C34968">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1"/>
    <w:footnote w:id="0"/>
  </w:footnotePr>
  <w:endnotePr>
    <w:endnote w:id="-1"/>
    <w:endnote w:id="0"/>
  </w:endnotePr>
  <w:compat/>
  <w:rsids>
    <w:rsidRoot w:val="0054238A"/>
    <w:rsid w:val="00476214"/>
    <w:rsid w:val="0054238A"/>
    <w:rsid w:val="00555A35"/>
    <w:rsid w:val="00A839A0"/>
    <w:rsid w:val="00C34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semiHidden/>
    <w:unhideWhenUsed/>
    <w:rsid w:val="00C34968"/>
    <w:pPr>
      <w:tabs>
        <w:tab w:val="center" w:pos="4680"/>
        <w:tab w:val="right" w:pos="9360"/>
      </w:tabs>
    </w:pPr>
  </w:style>
  <w:style w:type="character" w:customStyle="1" w:styleId="KoptekstChar">
    <w:name w:val="Koptekst Char"/>
    <w:basedOn w:val="Standaardalinea-lettertype"/>
    <w:link w:val="Koptekst"/>
    <w:uiPriority w:val="99"/>
    <w:semiHidden/>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semiHidden/>
    <w:unhideWhenUsed/>
    <w:rsid w:val="00C34968"/>
    <w:pPr>
      <w:tabs>
        <w:tab w:val="center" w:pos="4680"/>
        <w:tab w:val="right" w:pos="9360"/>
      </w:tabs>
    </w:pPr>
  </w:style>
  <w:style w:type="character" w:customStyle="1" w:styleId="VoettekstChar">
    <w:name w:val="Voettekst Char"/>
    <w:basedOn w:val="Standaardalinea-lettertype"/>
    <w:link w:val="Voettekst"/>
    <w:uiPriority w:val="99"/>
    <w:semiHidden/>
    <w:rsid w:val="00C34968"/>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2495</Words>
  <Characters>14226</Characters>
  <Application>Microsoft Office Word</Application>
  <DocSecurity>0</DocSecurity>
  <Lines>118</Lines>
  <Paragraphs>33</Paragraphs>
  <ScaleCrop>false</ScaleCrop>
  <Company>Springer-SBM</Company>
  <LinksUpToDate>false</LinksUpToDate>
  <CharactersWithSpaces>16688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2016-04-19T07:43:00Z</dcterms:created>
  <dcterms:modified xsi:type="dcterms:W3CDTF">2016-04-19T07:54:00Z</dcterms:modified>
</cp:coreProperties>
</file>