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64" w:rsidRPr="001C679B" w:rsidRDefault="00296964" w:rsidP="00296964">
      <w:pPr>
        <w:spacing w:before="100" w:beforeAutospacing="1" w:after="100" w:afterAutospacing="1"/>
      </w:pPr>
      <w:r>
        <w:rPr>
          <w:b/>
          <w:szCs w:val="22"/>
        </w:rPr>
        <w:t xml:space="preserve">9. </w:t>
      </w:r>
      <w:r>
        <w:rPr>
          <w:b/>
          <w:szCs w:val="22"/>
        </w:rPr>
        <w:tab/>
        <w:t>Tabellen en heffingskortingen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9.1</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ouderenkorting is bestemd voor personen in de AOW-leeftijd. Om hier recht op te hebben, moet het loon beneden € 35.949 liggen (2016). Bij een hoger loon is de ouderenkorting slechts € 70.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(pensioen)instantie willen toepassen, dan moet hij aan elke inhoudingsplichtige een Opgaaf gegevens voor de loonheffingen zenden met daarop zijn keuze.</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alle dagen van de week werkt, wordt hij als parttimer beschouwd. Dan moet voor deze dagen de maandtabel worden gehanteerd.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herrekenmethode, waarbij op kwartaalbasis de loonheffing wordt berekend inclusief provisie en exclusief provisie. Het verschil in loonheffing moet op de provisie worden ingehouden en afgedragen. Dit via de reguliere periodetabel.</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9.2</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ab/>
        <w:t>c. bij niet-opgenomen vakantiedagen van uitzendkrachten.</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9.3</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Verschillen tussen de kolommen in een witte tijdvaktabel:</w:t>
      </w:r>
    </w:p>
    <w:p w:rsidR="00296964" w:rsidRDefault="00296964" w:rsidP="00296964">
      <w:pPr>
        <w:pStyle w:val="Tekstzonderopmaak"/>
        <w:ind w:left="360"/>
        <w:rPr>
          <w:rFonts w:ascii="Times New Roman" w:hAnsi="Times New Roman"/>
          <w:sz w:val="22"/>
          <w:szCs w:val="22"/>
        </w:rPr>
      </w:pPr>
      <w:r>
        <w:rPr>
          <w:rFonts w:ascii="Times New Roman" w:hAnsi="Times New Roman"/>
          <w:sz w:val="22"/>
          <w:szCs w:val="22"/>
        </w:rPr>
        <w:tab/>
        <w:t xml:space="preserve">- het verschil in leeftijdsgroepen; </w:t>
      </w:r>
    </w:p>
    <w:p w:rsidR="00296964" w:rsidRDefault="00296964" w:rsidP="00296964">
      <w:pPr>
        <w:pStyle w:val="Tekstzonderopmaak"/>
        <w:ind w:left="360"/>
        <w:rPr>
          <w:rFonts w:ascii="Times New Roman" w:hAnsi="Times New Roman"/>
          <w:sz w:val="22"/>
          <w:szCs w:val="22"/>
        </w:rPr>
      </w:pPr>
      <w:r>
        <w:rPr>
          <w:rFonts w:ascii="Times New Roman" w:hAnsi="Times New Roman"/>
          <w:sz w:val="22"/>
          <w:szCs w:val="22"/>
        </w:rPr>
        <w:tab/>
        <w:t>- het al dan niet toepassen van de heffingskortingen en/of de werkbonus.</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9.4</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(Indien dit bij beide inhoudingsplichtigen gebeurt, wordt er te weinig loonheffing ingehouden en afgedragen).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zijn witte en groene tabellen voor bijzondere beloningen.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Op bijzondere beloningen mocht de werkgever altijd de tabel voor bijzondere beloningen toepassen, ook als dit tot een hogere loonheffing leidde. Ingaande 2016 is de voordeelregel niet meer toegestaan, maar is de tabel voor bijzondere beloningen verplicht.</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9.5</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U moet altijd het naast lagere bedrag in de tabel nemen, in dit geval € 1.850.</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Bij 34 jaar is deze € 2.242 en bij een AOW-gerechtigde: € 1.145 (2016).</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tabel voor bijzondere beloningen moet gehanteerd worden. Ingaande 2016 is ook de zogenaamde voordeelregel vervallen, die inhield dat vakantiebijslag via de periodetabel mocht worden belast als dat voor de werknemer een voordeel opleverde.</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9.6</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witte tabellen zijn voor inkomsten uit tegenwoordige dienstbetrekking.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geldt niet voor de jonggehandicaptenkorting en de levensloopverlofkorting.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9.7</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inhoudingsplichtige mag alleen de loonheffingskorting toepassen als de werknemer daar schriftelijk om heeft verzocht, vaak via de Opgaaf gegevens voor de loonheffingen. Aangezien Isma geen recht heeft op loonheffingskorting, zal werkgever vof Nutra een dergelijk verzoek niet hebben gekregen. Ook kan Isma expliciet hebben aangegeven dat de loonheffingskorting niet moet worden toegepast. Meestal is dit aan de orde als een werknemer de loonheffingskorting bij een andere werkgever laat toepassen.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€ 1.144,08 verschuldigd aan loonbelasting/premie volksverzekeringen. Dit wordt in de witte maandtabel afgelezen bij het naast lagere loonbedrag van € 2.997,00.</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€ 374,19 aan loonheffingskorting, namelijk: </w:t>
      </w:r>
    </w:p>
    <w:p w:rsidR="00296964" w:rsidRDefault="00296964" w:rsidP="00296964">
      <w:pPr>
        <w:pStyle w:val="Tekstzonderopmaak"/>
        <w:ind w:left="360"/>
        <w:rPr>
          <w:rFonts w:ascii="Times New Roman" w:hAnsi="Times New Roman"/>
          <w:sz w:val="22"/>
          <w:szCs w:val="22"/>
        </w:rPr>
      </w:pPr>
      <w:r>
        <w:rPr>
          <w:rFonts w:ascii="Times New Roman" w:hAnsi="Times New Roman"/>
          <w:sz w:val="22"/>
          <w:szCs w:val="22"/>
        </w:rPr>
        <w:tab/>
        <w:t xml:space="preserve">- algemene heffingskorting maximaal € 2.242 : 12 = € 186,83 per maand (tabel 2a); afbouw </w:t>
      </w:r>
      <w:r>
        <w:rPr>
          <w:rFonts w:ascii="Times New Roman" w:hAnsi="Times New Roman"/>
          <w:sz w:val="22"/>
          <w:szCs w:val="22"/>
        </w:rPr>
        <w:tab/>
        <w:t xml:space="preserve">alg. heffingskorting 4,822% van (12 x € 3.000 -/- € 19.992) = € 755,28, dat is € 64,61 per </w:t>
      </w:r>
      <w:r>
        <w:rPr>
          <w:rFonts w:ascii="Times New Roman" w:hAnsi="Times New Roman"/>
          <w:sz w:val="22"/>
          <w:szCs w:val="22"/>
        </w:rPr>
        <w:tab/>
        <w:t xml:space="preserve">maand; </w:t>
      </w:r>
      <w:r>
        <w:rPr>
          <w:rFonts w:ascii="Times New Roman" w:hAnsi="Times New Roman"/>
          <w:sz w:val="22"/>
          <w:szCs w:val="22"/>
        </w:rPr>
        <w:tab/>
        <w:t>resteert € 122,22 algemene heffingskorting per maand.</w:t>
      </w:r>
    </w:p>
    <w:p w:rsidR="00296964" w:rsidRDefault="00296964" w:rsidP="00296964">
      <w:pPr>
        <w:pStyle w:val="Tekstzonderopmaak"/>
        <w:ind w:left="360"/>
        <w:rPr>
          <w:rFonts w:ascii="Times New Roman" w:hAnsi="Times New Roman"/>
          <w:sz w:val="22"/>
          <w:szCs w:val="22"/>
        </w:rPr>
      </w:pPr>
      <w:r>
        <w:rPr>
          <w:rFonts w:ascii="Times New Roman" w:hAnsi="Times New Roman"/>
          <w:sz w:val="22"/>
          <w:szCs w:val="22"/>
        </w:rPr>
        <w:lastRenderedPageBreak/>
        <w:tab/>
        <w:t xml:space="preserve">- arbeidskorting maximaal € 3.103 : 12 = € 258,58 per maand; afbouw arbeidskorting 4% van </w:t>
      </w:r>
      <w:r>
        <w:rPr>
          <w:rFonts w:ascii="Times New Roman" w:hAnsi="Times New Roman"/>
          <w:sz w:val="22"/>
          <w:szCs w:val="22"/>
        </w:rPr>
        <w:tab/>
        <w:t xml:space="preserve">(12 x € 3.000 -/- € 9.147) = € 79,40, dat is € 6,61 per maand; resteert € 251,97 arbeidskorting </w:t>
      </w:r>
      <w:r>
        <w:rPr>
          <w:rFonts w:ascii="Times New Roman" w:hAnsi="Times New Roman"/>
          <w:sz w:val="22"/>
          <w:szCs w:val="22"/>
        </w:rPr>
        <w:tab/>
        <w:t>per maand.</w:t>
      </w:r>
    </w:p>
    <w:p w:rsidR="00296964" w:rsidRDefault="00296964" w:rsidP="00296964">
      <w:pPr>
        <w:pStyle w:val="Tekstzonderopmaak"/>
        <w:ind w:left="360"/>
        <w:rPr>
          <w:rFonts w:ascii="Times New Roman" w:hAnsi="Times New Roman"/>
          <w:sz w:val="22"/>
          <w:szCs w:val="22"/>
        </w:rPr>
      </w:pPr>
      <w:r>
        <w:rPr>
          <w:rFonts w:ascii="Times New Roman" w:hAnsi="Times New Roman"/>
          <w:sz w:val="22"/>
          <w:szCs w:val="22"/>
        </w:rPr>
        <w:tab/>
        <w:t xml:space="preserve">Totale loonheffingskorting is € 122,22 algemene heffingskorting + € 251,97 arbeidskorting = </w:t>
      </w:r>
      <w:r>
        <w:rPr>
          <w:rFonts w:ascii="Times New Roman" w:hAnsi="Times New Roman"/>
          <w:sz w:val="22"/>
          <w:szCs w:val="22"/>
        </w:rPr>
        <w:tab/>
        <w:t>€ 374,19 per maand.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Zonder loonheffingskorting moet € 1.144,08 worden ingehouden (antwoord 2). Verminderd met de loonheffingskorting van € 374,19 (antwoord 3) bedraagt de inhouding € 769,89. Controle: De witte maandtabel geeft € 769,50 (maar gaat uit van een maandloon van € 2.997 in plaats van € 3.000).</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9.8</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 beloningen. Het is een loonbestanddeel dat eenmaal per jaar wordt betaald.</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9.9</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 de levensloopverlofkorting, de werkbonus en de tijdelijke heffingskorting voor vroeggepensioneerden.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het loontijdvak wordt onderbroken of als een werknemer in het loontijdvak in of uit dienst treedt.</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9.10</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€ 2.200 + € 250 = € 2.450. De waarde van de vakantiebon moet voor 100% tot het loon worden gerekend, omdat niet aan de voorwaarden voor 99% bijtelling wordt voldaan.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over het gecumuleerde loon voor de loonheffing. Dus over een bedrag van € 627, een bedrag van € 1321 en een bedrag van € 1702.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€ 31 ingehouden).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mag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9.11</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Het loon voor de loonheffing moet worden herleid. Hierbij wordt een week op 5 dagen gesteld. In totaal heeft Paulus 22 dagen gewerkt oftewel 3 weken + 1 dag. Voor de </w:t>
      </w:r>
      <w:r>
        <w:rPr>
          <w:rFonts w:ascii="Times New Roman" w:hAnsi="Times New Roman"/>
          <w:sz w:val="22"/>
          <w:szCs w:val="22"/>
        </w:rPr>
        <w:lastRenderedPageBreak/>
        <w:t>berekening van de loonheffing is dit 3 weken van 5 dagen + 1 dag = 16 dagen. Het loon wordt gedeeld door 16 en bedraagt dan € 151 per dag. De loonheffing bedraagt 16 keer het bedrag dat bij een loon van € 151 per dag wordt ingehouden.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Maar als van de studenten- en scholierenregeling gebruikt wordt gemaakt, is het loontijdvak een kwartaal.</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ouderenkorting, de alleenstaande-ouderenkorting, de jonggehandicaptenkorting, de levensloopverlofkorting, de werkbonus en de tijdelijke heffingskorting voor vroeggepensioneerden).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296964" w:rsidRDefault="00296964" w:rsidP="00296964">
      <w:pPr>
        <w:pStyle w:val="Tekstzonderopmaak"/>
        <w:ind w:left="708" w:hanging="708"/>
        <w:rPr>
          <w:rFonts w:ascii="Times New Roman" w:hAnsi="Times New Roman"/>
          <w:sz w:val="22"/>
          <w:szCs w:val="22"/>
        </w:rPr>
      </w:pP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Opgave 9.12</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p>
    <w:p w:rsidR="00296964" w:rsidRDefault="00296964" w:rsidP="00296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toch sprake van loon uit tegenwoordige dienstbetrekking. De aanspraak op vakantiebijslag is namelijk gedurende het bestaan van de dienstbetrekking opgebouwd. Van Oost bv moet de witte tabel voor bijzondere beloningen </w:t>
      </w:r>
      <w:r w:rsidRPr="00C35DF8">
        <w:rPr>
          <w:rFonts w:ascii="Times New Roman" w:hAnsi="Times New Roman"/>
          <w:sz w:val="22"/>
          <w:szCs w:val="22"/>
        </w:rPr>
        <w:t>toepassen.</w:t>
      </w:r>
    </w:p>
    <w:p w:rsidR="00296964" w:rsidRDefault="00296964" w:rsidP="00296964">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296964" w:rsidRPr="000C23D5" w:rsidRDefault="00296964" w:rsidP="00296964">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t xml:space="preserve">Onjuist. </w:t>
      </w:r>
      <w:r>
        <w:rPr>
          <w:rFonts w:ascii="Times New Roman" w:hAnsi="Times New Roman"/>
          <w:sz w:val="22"/>
          <w:szCs w:val="22"/>
        </w:rPr>
        <w:t>Tegenwoordig zijn i</w:t>
      </w:r>
      <w:r w:rsidRPr="00C35DF8">
        <w:rPr>
          <w:rFonts w:ascii="Times New Roman" w:hAnsi="Times New Roman"/>
          <w:sz w:val="22"/>
          <w:szCs w:val="22"/>
        </w:rPr>
        <w:t xml:space="preserve">n de tabellen voor de bijzondere beloningen </w:t>
      </w:r>
      <w:r>
        <w:rPr>
          <w:rFonts w:ascii="Times New Roman" w:hAnsi="Times New Roman"/>
          <w:sz w:val="22"/>
          <w:szCs w:val="22"/>
        </w:rPr>
        <w:t>ook de</w:t>
      </w:r>
      <w:r w:rsidRPr="00C35DF8">
        <w:rPr>
          <w:rFonts w:ascii="Times New Roman" w:hAnsi="Times New Roman"/>
          <w:sz w:val="22"/>
          <w:szCs w:val="22"/>
        </w:rPr>
        <w:t xml:space="preserve"> heffingskortingen verwerkt.</w:t>
      </w: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8E" w:rsidRDefault="00E0178E" w:rsidP="00E0178E">
      <w:r>
        <w:separator/>
      </w:r>
    </w:p>
  </w:endnote>
  <w:endnote w:type="continuationSeparator" w:id="0">
    <w:p w:rsidR="00E0178E" w:rsidRDefault="00E0178E" w:rsidP="00E01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8E" w:rsidRDefault="00E0178E" w:rsidP="00E0178E">
      <w:r>
        <w:separator/>
      </w:r>
    </w:p>
  </w:footnote>
  <w:footnote w:type="continuationSeparator" w:id="0">
    <w:p w:rsidR="00E0178E" w:rsidRDefault="00E0178E" w:rsidP="00E0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8E" w:rsidRDefault="00E0178E" w:rsidP="00E0178E">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E0178E" w:rsidRDefault="00E0178E" w:rsidP="00E0178E">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E0178E" w:rsidRDefault="00E0178E" w:rsidP="00E0178E">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E0178E" w:rsidRDefault="00E0178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296964"/>
    <w:rsid w:val="00296964"/>
    <w:rsid w:val="00452419"/>
    <w:rsid w:val="006A20F3"/>
    <w:rsid w:val="00A839A0"/>
    <w:rsid w:val="00E0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96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96964"/>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E0178E"/>
    <w:pPr>
      <w:tabs>
        <w:tab w:val="center" w:pos="4680"/>
        <w:tab w:val="right" w:pos="9360"/>
      </w:tabs>
    </w:pPr>
  </w:style>
  <w:style w:type="character" w:customStyle="1" w:styleId="KoptekstChar">
    <w:name w:val="Koptekst Char"/>
    <w:basedOn w:val="Standaardalinea-lettertype"/>
    <w:link w:val="Koptekst"/>
    <w:uiPriority w:val="99"/>
    <w:semiHidden/>
    <w:rsid w:val="00E0178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E0178E"/>
    <w:pPr>
      <w:tabs>
        <w:tab w:val="center" w:pos="4680"/>
        <w:tab w:val="right" w:pos="9360"/>
      </w:tabs>
    </w:pPr>
  </w:style>
  <w:style w:type="character" w:customStyle="1" w:styleId="VoettekstChar">
    <w:name w:val="Voettekst Char"/>
    <w:basedOn w:val="Standaardalinea-lettertype"/>
    <w:link w:val="Voettekst"/>
    <w:uiPriority w:val="99"/>
    <w:semiHidden/>
    <w:rsid w:val="00E0178E"/>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20970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Lines>85</Lines>
  <Paragraphs>24</Paragraphs>
  <ScaleCrop>false</ScaleCrop>
  <Company>Springer-SBM</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2016-04-19T09:45:00Z</dcterms:created>
  <dcterms:modified xsi:type="dcterms:W3CDTF">2016-04-19T09:49:00Z</dcterms:modified>
</cp:coreProperties>
</file>