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67" w:rsidRPr="003B7656" w:rsidRDefault="003B7656">
      <w:pPr>
        <w:rPr>
          <w:rFonts w:ascii="Times New Roman" w:hAnsi="Times New Roman" w:cs="Times New Roman"/>
          <w:b/>
        </w:rPr>
      </w:pPr>
      <w:r w:rsidRPr="003B7656">
        <w:rPr>
          <w:rFonts w:ascii="Times New Roman" w:hAnsi="Times New Roman" w:cs="Times New Roman"/>
          <w:b/>
        </w:rPr>
        <w:t>Uitwerkingen</w:t>
      </w:r>
      <w:r w:rsidR="00E51846" w:rsidRPr="003B7656">
        <w:rPr>
          <w:rFonts w:ascii="Times New Roman" w:hAnsi="Times New Roman" w:cs="Times New Roman"/>
          <w:b/>
        </w:rPr>
        <w:t xml:space="preserve"> hoofdstuk </w:t>
      </w:r>
      <w:r w:rsidRPr="003B7656">
        <w:rPr>
          <w:rFonts w:ascii="Times New Roman" w:hAnsi="Times New Roman" w:cs="Times New Roman"/>
          <w:b/>
        </w:rPr>
        <w:t>1</w:t>
      </w:r>
    </w:p>
    <w:p w:rsidR="0073196B" w:rsidRDefault="0073196B" w:rsidP="0073196B">
      <w:pPr>
        <w:spacing w:after="0"/>
        <w:rPr>
          <w:rFonts w:ascii="Times New Roman" w:hAnsi="Times New Roman" w:cs="Times New Roman"/>
          <w:b/>
        </w:rPr>
      </w:pPr>
      <w:r>
        <w:rPr>
          <w:rFonts w:ascii="Times New Roman" w:hAnsi="Times New Roman" w:cs="Times New Roman"/>
          <w:b/>
        </w:rPr>
        <w:t>Opgave 1.1 (commerciële jaarrekening)</w:t>
      </w:r>
    </w:p>
    <w:p w:rsidR="003B7656" w:rsidRPr="0073196B" w:rsidRDefault="003B7656" w:rsidP="0073196B">
      <w:pPr>
        <w:spacing w:after="0"/>
        <w:rPr>
          <w:rFonts w:ascii="Times New Roman" w:hAnsi="Times New Roman" w:cs="Times New Roman"/>
          <w:b/>
        </w:rPr>
      </w:pPr>
      <w:r w:rsidRPr="003B7656">
        <w:rPr>
          <w:rFonts w:ascii="Times New Roman" w:hAnsi="Times New Roman" w:cs="Times New Roman"/>
        </w:rPr>
        <w:t>a. De commerciële jaarrekening maakt onderdeel uit van het jaarrapport en bestaat uit de commerciële balans, de commerciële winst-en-verliesrekening en de toelichting</w:t>
      </w:r>
      <w:r w:rsidR="00EA7C32">
        <w:rPr>
          <w:rFonts w:ascii="Times New Roman" w:hAnsi="Times New Roman" w:cs="Times New Roman"/>
        </w:rPr>
        <w:t xml:space="preserve"> op beide</w:t>
      </w:r>
      <w:r w:rsidRPr="003B7656">
        <w:rPr>
          <w:rFonts w:ascii="Times New Roman" w:hAnsi="Times New Roman" w:cs="Times New Roman"/>
        </w:rPr>
        <w:t>.</w:t>
      </w:r>
    </w:p>
    <w:p w:rsidR="003B7656" w:rsidRPr="003B7656" w:rsidRDefault="003B7656" w:rsidP="003B7656">
      <w:pPr>
        <w:spacing w:after="0"/>
        <w:rPr>
          <w:rFonts w:ascii="Times New Roman" w:hAnsi="Times New Roman" w:cs="Times New Roman"/>
        </w:rPr>
      </w:pPr>
      <w:r w:rsidRPr="003B7656">
        <w:rPr>
          <w:rFonts w:ascii="Times New Roman" w:hAnsi="Times New Roman" w:cs="Times New Roman"/>
        </w:rPr>
        <w:t>b. De verplichting om de commerciële jaarrekening bij het Handelsregister te deponeren geldt alleen voor ondernemingen die in de vorm van een rechtspersoon worden gedreven. Dit zijn in ieder geval naamloze vennootschappen, besloten vennootschappen, coöperaties en onderlinge waarborgmaatschappijen. Onder bepaalde omstandigheden kunnen ook verenigingen en stichtingen onderworpen zijn aan de wettelijke verplichting om hun jaarrekening te deponeren en wel als ze winstoogmerk hebben. Commanditaire vennootschappen en vennootschappen onder firma vallen alleen onder de wettelijke verplichting als  alle aansprakelijke vennoten kapitaalvennootschappen, dat wil zeggen rechtspersonen, naar buitenlands recht zijn.</w:t>
      </w:r>
    </w:p>
    <w:p w:rsidR="003B7656" w:rsidRPr="003B7656" w:rsidRDefault="003B7656" w:rsidP="003B7656">
      <w:pPr>
        <w:spacing w:after="0"/>
        <w:rPr>
          <w:rFonts w:ascii="Times New Roman" w:hAnsi="Times New Roman" w:cs="Times New Roman"/>
        </w:rPr>
      </w:pPr>
      <w:r w:rsidRPr="003B7656">
        <w:rPr>
          <w:rFonts w:ascii="Times New Roman" w:hAnsi="Times New Roman" w:cs="Times New Roman"/>
        </w:rPr>
        <w:t>c. Het doel van de commerciële jaarrekening is belanghebbenden te informeren over de financiële gang van zaken van de onderneming over het afgelopen boekjaar. Belanghebbenden zijn onder andere aandeelhouders, schuldeisers, werknemers, beleggers en kredietbeoordelaars.</w:t>
      </w:r>
    </w:p>
    <w:p w:rsidR="003B7656" w:rsidRPr="003B7656" w:rsidRDefault="003B7656" w:rsidP="003B7656">
      <w:pPr>
        <w:spacing w:after="0"/>
        <w:rPr>
          <w:rFonts w:ascii="Times New Roman" w:hAnsi="Times New Roman" w:cs="Times New Roman"/>
        </w:rPr>
      </w:pPr>
      <w:r w:rsidRPr="003B7656">
        <w:rPr>
          <w:rFonts w:ascii="Times New Roman" w:hAnsi="Times New Roman" w:cs="Times New Roman"/>
        </w:rPr>
        <w:t>d. Het kasstroomoverzicht dient in de toelichting van de commerciële jaarrekening te worden opgenomen.</w:t>
      </w:r>
    </w:p>
    <w:p w:rsidR="003B7656" w:rsidRDefault="003B7656" w:rsidP="0073196B">
      <w:pPr>
        <w:spacing w:after="0"/>
        <w:rPr>
          <w:rFonts w:ascii="Times New Roman" w:hAnsi="Times New Roman" w:cs="Times New Roman"/>
        </w:rPr>
      </w:pPr>
      <w:r w:rsidRPr="003B7656">
        <w:rPr>
          <w:rFonts w:ascii="Times New Roman" w:hAnsi="Times New Roman" w:cs="Times New Roman"/>
        </w:rPr>
        <w:t>e. Het kasstroomoverzicht wordt op vrijwillige basis opgenomen, omdat voor het kasstroomoverzicht geen wettelijke verplichting bestaat. Wel heeft de Raad voor de Jaarverslaggeving (RJ) in een richtlijn opname van  het kasstroomoverzicht voor middelgrote en grote rechtspersonen aanbevolen.</w:t>
      </w:r>
    </w:p>
    <w:p w:rsidR="001D262C" w:rsidRDefault="001D262C" w:rsidP="0073196B">
      <w:pPr>
        <w:spacing w:after="0"/>
        <w:rPr>
          <w:rFonts w:ascii="Times New Roman" w:hAnsi="Times New Roman" w:cs="Times New Roman"/>
          <w:sz w:val="24"/>
          <w:szCs w:val="24"/>
        </w:rPr>
      </w:pPr>
      <w:r>
        <w:rPr>
          <w:rFonts w:ascii="Times New Roman" w:hAnsi="Times New Roman" w:cs="Times New Roman"/>
        </w:rPr>
        <w:t>f.</w:t>
      </w:r>
      <w:r w:rsidRPr="001D262C">
        <w:rPr>
          <w:rFonts w:ascii="Times New Roman" w:hAnsi="Times New Roman" w:cs="Times New Roman"/>
          <w:sz w:val="24"/>
          <w:szCs w:val="24"/>
        </w:rPr>
        <w:t xml:space="preserve"> </w:t>
      </w:r>
      <w:r>
        <w:rPr>
          <w:rFonts w:ascii="Times New Roman" w:hAnsi="Times New Roman" w:cs="Times New Roman"/>
          <w:sz w:val="24"/>
          <w:szCs w:val="24"/>
        </w:rPr>
        <w:t>De</w:t>
      </w:r>
      <w:r w:rsidRPr="003E66E4">
        <w:rPr>
          <w:rFonts w:ascii="Times New Roman" w:hAnsi="Times New Roman" w:cs="Times New Roman"/>
          <w:sz w:val="24"/>
          <w:szCs w:val="24"/>
        </w:rPr>
        <w:t xml:space="preserve"> geconsolideerde jaarrekening </w:t>
      </w:r>
      <w:r>
        <w:rPr>
          <w:rFonts w:ascii="Times New Roman" w:hAnsi="Times New Roman" w:cs="Times New Roman"/>
          <w:sz w:val="24"/>
          <w:szCs w:val="24"/>
        </w:rPr>
        <w:t xml:space="preserve">dient </w:t>
      </w:r>
      <w:r w:rsidRPr="003E66E4">
        <w:rPr>
          <w:rFonts w:ascii="Times New Roman" w:hAnsi="Times New Roman" w:cs="Times New Roman"/>
          <w:sz w:val="24"/>
          <w:szCs w:val="24"/>
        </w:rPr>
        <w:t>te worden opgenomen in de toelichting</w:t>
      </w:r>
      <w:r>
        <w:rPr>
          <w:rFonts w:ascii="Times New Roman" w:hAnsi="Times New Roman" w:cs="Times New Roman"/>
          <w:sz w:val="24"/>
          <w:szCs w:val="24"/>
        </w:rPr>
        <w:t xml:space="preserve"> van de moedermaatschappij</w:t>
      </w:r>
      <w:r w:rsidRPr="003E66E4">
        <w:rPr>
          <w:rFonts w:ascii="Times New Roman" w:hAnsi="Times New Roman" w:cs="Times New Roman"/>
          <w:sz w:val="24"/>
          <w:szCs w:val="24"/>
        </w:rPr>
        <w:t>.</w:t>
      </w:r>
    </w:p>
    <w:p w:rsidR="001D262C" w:rsidRDefault="001D262C" w:rsidP="0073196B">
      <w:pPr>
        <w:spacing w:after="0"/>
        <w:rPr>
          <w:rFonts w:ascii="Times New Roman" w:hAnsi="Times New Roman" w:cs="Times New Roman"/>
          <w:sz w:val="24"/>
          <w:szCs w:val="24"/>
        </w:rPr>
      </w:pPr>
      <w:r>
        <w:rPr>
          <w:rFonts w:ascii="Times New Roman" w:hAnsi="Times New Roman" w:cs="Times New Roman"/>
          <w:sz w:val="24"/>
          <w:szCs w:val="24"/>
        </w:rPr>
        <w:t>g.</w:t>
      </w:r>
      <w:r w:rsidRPr="003E66E4">
        <w:rPr>
          <w:rFonts w:ascii="Times New Roman" w:hAnsi="Times New Roman" w:cs="Times New Roman"/>
          <w:sz w:val="24"/>
          <w:szCs w:val="24"/>
        </w:rPr>
        <w:t xml:space="preserve"> </w:t>
      </w:r>
      <w:r w:rsidR="00EA7C32">
        <w:rPr>
          <w:rFonts w:ascii="Times New Roman" w:hAnsi="Times New Roman" w:cs="Times New Roman"/>
          <w:sz w:val="24"/>
          <w:szCs w:val="24"/>
        </w:rPr>
        <w:t>Het Besluit Modellen Jaarrekening schrijft voor h</w:t>
      </w:r>
      <w:r>
        <w:rPr>
          <w:rFonts w:ascii="Times New Roman" w:hAnsi="Times New Roman" w:cs="Times New Roman"/>
          <w:sz w:val="24"/>
          <w:szCs w:val="24"/>
        </w:rPr>
        <w:t xml:space="preserve">oe de commerciële balans en winst-en-verliesrekening </w:t>
      </w:r>
      <w:r w:rsidR="00EA7C32">
        <w:rPr>
          <w:rFonts w:ascii="Times New Roman" w:hAnsi="Times New Roman" w:cs="Times New Roman"/>
          <w:sz w:val="24"/>
          <w:szCs w:val="24"/>
        </w:rPr>
        <w:t>moeten</w:t>
      </w:r>
      <w:r>
        <w:rPr>
          <w:rFonts w:ascii="Times New Roman" w:hAnsi="Times New Roman" w:cs="Times New Roman"/>
          <w:sz w:val="24"/>
          <w:szCs w:val="24"/>
        </w:rPr>
        <w:t xml:space="preserve"> worden opgesteld.</w:t>
      </w:r>
    </w:p>
    <w:p w:rsidR="00206551" w:rsidRDefault="0073196B" w:rsidP="00206551">
      <w:pPr>
        <w:spacing w:after="0"/>
        <w:rPr>
          <w:rFonts w:ascii="Times New Roman" w:hAnsi="Times New Roman" w:cs="Times New Roman"/>
          <w:sz w:val="24"/>
          <w:szCs w:val="24"/>
        </w:rPr>
      </w:pPr>
      <w:r>
        <w:rPr>
          <w:rFonts w:ascii="Times New Roman" w:hAnsi="Times New Roman" w:cs="Times New Roman"/>
          <w:sz w:val="24"/>
          <w:szCs w:val="24"/>
        </w:rPr>
        <w:t>h.</w:t>
      </w:r>
      <w:r w:rsidR="00206551" w:rsidRPr="00206551">
        <w:rPr>
          <w:rFonts w:ascii="Times New Roman" w:hAnsi="Times New Roman" w:cs="Times New Roman"/>
          <w:sz w:val="24"/>
          <w:szCs w:val="24"/>
        </w:rPr>
        <w:t xml:space="preserve"> </w:t>
      </w:r>
      <w:r w:rsidR="00206551">
        <w:rPr>
          <w:rFonts w:ascii="Times New Roman" w:hAnsi="Times New Roman" w:cs="Times New Roman"/>
          <w:sz w:val="24"/>
          <w:szCs w:val="24"/>
        </w:rPr>
        <w:t>IFRS hanteert geen gedetailleerde modellen zoals in het Besluit Modellen Jaarrekening. Op grond van IAS 1 moeten slechts uit de commerciële winst-en-verliesrekening de volgende gegevens afzonderlijk kunnen worden afgelezen:</w:t>
      </w:r>
    </w:p>
    <w:p w:rsidR="00206551" w:rsidRDefault="00206551" w:rsidP="00206551">
      <w:pPr>
        <w:spacing w:after="0"/>
        <w:rPr>
          <w:rFonts w:ascii="Times New Roman" w:hAnsi="Times New Roman" w:cs="Times New Roman"/>
          <w:sz w:val="24"/>
          <w:szCs w:val="24"/>
        </w:rPr>
      </w:pPr>
      <w:r>
        <w:rPr>
          <w:rFonts w:ascii="Times New Roman" w:hAnsi="Times New Roman" w:cs="Times New Roman"/>
          <w:sz w:val="24"/>
          <w:szCs w:val="24"/>
        </w:rPr>
        <w:t>* de opbrengsten</w:t>
      </w:r>
    </w:p>
    <w:p w:rsidR="00206551" w:rsidRDefault="00206551" w:rsidP="00206551">
      <w:pPr>
        <w:spacing w:after="0"/>
        <w:rPr>
          <w:rFonts w:ascii="Times New Roman" w:hAnsi="Times New Roman" w:cs="Times New Roman"/>
          <w:sz w:val="24"/>
          <w:szCs w:val="24"/>
        </w:rPr>
      </w:pPr>
      <w:r>
        <w:rPr>
          <w:rFonts w:ascii="Times New Roman" w:hAnsi="Times New Roman" w:cs="Times New Roman"/>
          <w:sz w:val="24"/>
          <w:szCs w:val="24"/>
        </w:rPr>
        <w:t>* de financiële lasten</w:t>
      </w:r>
    </w:p>
    <w:p w:rsidR="00206551" w:rsidRDefault="00206551" w:rsidP="00206551">
      <w:pPr>
        <w:spacing w:after="0"/>
        <w:rPr>
          <w:rFonts w:ascii="Times New Roman" w:hAnsi="Times New Roman" w:cs="Times New Roman"/>
          <w:sz w:val="24"/>
          <w:szCs w:val="24"/>
        </w:rPr>
      </w:pPr>
      <w:r>
        <w:rPr>
          <w:rFonts w:ascii="Times New Roman" w:hAnsi="Times New Roman" w:cs="Times New Roman"/>
          <w:sz w:val="24"/>
          <w:szCs w:val="24"/>
        </w:rPr>
        <w:t>* de opbrengsten van deelnemingen</w:t>
      </w:r>
    </w:p>
    <w:p w:rsidR="00206551" w:rsidRDefault="00206551" w:rsidP="00206551">
      <w:pPr>
        <w:spacing w:after="0"/>
        <w:rPr>
          <w:rFonts w:ascii="Times New Roman" w:hAnsi="Times New Roman" w:cs="Times New Roman"/>
          <w:sz w:val="24"/>
          <w:szCs w:val="24"/>
        </w:rPr>
      </w:pPr>
      <w:r>
        <w:rPr>
          <w:rFonts w:ascii="Times New Roman" w:hAnsi="Times New Roman" w:cs="Times New Roman"/>
          <w:sz w:val="24"/>
          <w:szCs w:val="24"/>
        </w:rPr>
        <w:t>* belastingen</w:t>
      </w:r>
    </w:p>
    <w:p w:rsidR="00C13108" w:rsidRPr="003E66E4" w:rsidRDefault="00206551" w:rsidP="0073196B">
      <w:pPr>
        <w:spacing w:after="0"/>
        <w:rPr>
          <w:rFonts w:ascii="Times New Roman" w:hAnsi="Times New Roman" w:cs="Times New Roman"/>
          <w:sz w:val="24"/>
          <w:szCs w:val="24"/>
        </w:rPr>
      </w:pPr>
      <w:r>
        <w:rPr>
          <w:rFonts w:ascii="Times New Roman" w:hAnsi="Times New Roman" w:cs="Times New Roman"/>
          <w:sz w:val="24"/>
          <w:szCs w:val="24"/>
        </w:rPr>
        <w:t>* De nettowinst of het nettoverlies</w:t>
      </w:r>
    </w:p>
    <w:p w:rsidR="001D262C" w:rsidRPr="0073196B" w:rsidRDefault="001D262C" w:rsidP="0073196B">
      <w:pPr>
        <w:spacing w:after="0"/>
        <w:rPr>
          <w:rFonts w:ascii="Times New Roman" w:hAnsi="Times New Roman" w:cs="Times New Roman"/>
          <w:b/>
        </w:rPr>
      </w:pPr>
      <w:r w:rsidRPr="0073196B">
        <w:rPr>
          <w:rFonts w:ascii="Times New Roman" w:hAnsi="Times New Roman" w:cs="Times New Roman"/>
          <w:b/>
        </w:rPr>
        <w:t>Opgave 2</w:t>
      </w:r>
    </w:p>
    <w:tbl>
      <w:tblPr>
        <w:tblStyle w:val="Tabelraster"/>
        <w:tblW w:w="0" w:type="auto"/>
        <w:tblLook w:val="04A0"/>
      </w:tblPr>
      <w:tblGrid>
        <w:gridCol w:w="4077"/>
        <w:gridCol w:w="2064"/>
        <w:gridCol w:w="3071"/>
      </w:tblGrid>
      <w:tr w:rsidR="001D262C" w:rsidTr="00091518">
        <w:tc>
          <w:tcPr>
            <w:tcW w:w="4077" w:type="dxa"/>
          </w:tcPr>
          <w:p w:rsidR="001D262C" w:rsidRPr="00265F86" w:rsidRDefault="001D262C" w:rsidP="0073196B">
            <w:pPr>
              <w:rPr>
                <w:rFonts w:ascii="Times New Roman" w:hAnsi="Times New Roman" w:cs="Times New Roman"/>
              </w:rPr>
            </w:pPr>
            <w:r w:rsidRPr="00265F86">
              <w:rPr>
                <w:rFonts w:ascii="Times New Roman" w:hAnsi="Times New Roman" w:cs="Times New Roman"/>
              </w:rPr>
              <w:t>Post</w:t>
            </w:r>
          </w:p>
        </w:tc>
        <w:tc>
          <w:tcPr>
            <w:tcW w:w="2064" w:type="dxa"/>
          </w:tcPr>
          <w:p w:rsidR="001D262C" w:rsidRPr="00265F86" w:rsidRDefault="001D262C" w:rsidP="00091518">
            <w:pPr>
              <w:rPr>
                <w:rFonts w:ascii="Times New Roman" w:hAnsi="Times New Roman" w:cs="Times New Roman"/>
              </w:rPr>
            </w:pPr>
            <w:r w:rsidRPr="00265F86">
              <w:rPr>
                <w:rFonts w:ascii="Times New Roman" w:hAnsi="Times New Roman" w:cs="Times New Roman"/>
              </w:rPr>
              <w:t>Balans/W&amp;V</w:t>
            </w:r>
          </w:p>
        </w:tc>
        <w:tc>
          <w:tcPr>
            <w:tcW w:w="3071" w:type="dxa"/>
          </w:tcPr>
          <w:p w:rsidR="001D262C" w:rsidRPr="00265F86" w:rsidRDefault="001D262C" w:rsidP="00091518">
            <w:pPr>
              <w:rPr>
                <w:rFonts w:ascii="Times New Roman" w:hAnsi="Times New Roman" w:cs="Times New Roman"/>
              </w:rPr>
            </w:pPr>
            <w:r w:rsidRPr="00265F86">
              <w:rPr>
                <w:rFonts w:ascii="Times New Roman" w:hAnsi="Times New Roman" w:cs="Times New Roman"/>
              </w:rPr>
              <w:t>Categorie</w:t>
            </w:r>
          </w:p>
        </w:tc>
      </w:tr>
      <w:tr w:rsidR="001D262C" w:rsidTr="00091518">
        <w:tc>
          <w:tcPr>
            <w:tcW w:w="4077" w:type="dxa"/>
          </w:tcPr>
          <w:p w:rsidR="001D262C" w:rsidRPr="00265F86" w:rsidRDefault="001D262C" w:rsidP="00091518">
            <w:pPr>
              <w:rPr>
                <w:rFonts w:ascii="Times New Roman" w:hAnsi="Times New Roman" w:cs="Times New Roman"/>
              </w:rPr>
            </w:pPr>
            <w:r w:rsidRPr="00265F86">
              <w:rPr>
                <w:rFonts w:ascii="Times New Roman" w:hAnsi="Times New Roman" w:cs="Times New Roman"/>
              </w:rPr>
              <w:t>Goodwill</w:t>
            </w:r>
          </w:p>
        </w:tc>
        <w:tc>
          <w:tcPr>
            <w:tcW w:w="2064" w:type="dxa"/>
          </w:tcPr>
          <w:p w:rsidR="001D262C" w:rsidRPr="00265F86" w:rsidRDefault="001D262C" w:rsidP="00091518">
            <w:pPr>
              <w:rPr>
                <w:rFonts w:ascii="Times New Roman" w:hAnsi="Times New Roman" w:cs="Times New Roman"/>
              </w:rPr>
            </w:pPr>
            <w:r>
              <w:rPr>
                <w:rFonts w:ascii="Times New Roman" w:hAnsi="Times New Roman" w:cs="Times New Roman"/>
              </w:rPr>
              <w:t>Balans</w:t>
            </w:r>
          </w:p>
        </w:tc>
        <w:tc>
          <w:tcPr>
            <w:tcW w:w="3071" w:type="dxa"/>
          </w:tcPr>
          <w:p w:rsidR="001D262C" w:rsidRPr="00265F86" w:rsidRDefault="001D262C" w:rsidP="00091518">
            <w:pPr>
              <w:rPr>
                <w:rFonts w:ascii="Times New Roman" w:hAnsi="Times New Roman" w:cs="Times New Roman"/>
              </w:rPr>
            </w:pPr>
            <w:r>
              <w:rPr>
                <w:rFonts w:ascii="Times New Roman" w:hAnsi="Times New Roman" w:cs="Times New Roman"/>
              </w:rPr>
              <w:t>Immateriële vaste activa</w:t>
            </w:r>
          </w:p>
        </w:tc>
      </w:tr>
      <w:tr w:rsidR="001D262C" w:rsidTr="00091518">
        <w:tc>
          <w:tcPr>
            <w:tcW w:w="4077" w:type="dxa"/>
          </w:tcPr>
          <w:p w:rsidR="001D262C" w:rsidRPr="00265F86" w:rsidRDefault="001D262C" w:rsidP="00091518">
            <w:pPr>
              <w:rPr>
                <w:rFonts w:ascii="Times New Roman" w:hAnsi="Times New Roman" w:cs="Times New Roman"/>
              </w:rPr>
            </w:pPr>
            <w:r w:rsidRPr="00265F86">
              <w:rPr>
                <w:rFonts w:ascii="Times New Roman" w:hAnsi="Times New Roman" w:cs="Times New Roman"/>
              </w:rPr>
              <w:t>Afschrijving concessies</w:t>
            </w:r>
          </w:p>
        </w:tc>
        <w:tc>
          <w:tcPr>
            <w:tcW w:w="2064" w:type="dxa"/>
          </w:tcPr>
          <w:p w:rsidR="001D262C" w:rsidRPr="00265F86" w:rsidRDefault="001D262C" w:rsidP="00091518">
            <w:pPr>
              <w:rPr>
                <w:rFonts w:ascii="Times New Roman" w:hAnsi="Times New Roman" w:cs="Times New Roman"/>
              </w:rPr>
            </w:pPr>
            <w:r>
              <w:rPr>
                <w:rFonts w:ascii="Times New Roman" w:hAnsi="Times New Roman" w:cs="Times New Roman"/>
              </w:rPr>
              <w:t>W&amp;V</w:t>
            </w:r>
          </w:p>
        </w:tc>
        <w:tc>
          <w:tcPr>
            <w:tcW w:w="3071" w:type="dxa"/>
          </w:tcPr>
          <w:p w:rsidR="001D262C" w:rsidRPr="00265F86" w:rsidRDefault="001D262C" w:rsidP="00091518">
            <w:pPr>
              <w:rPr>
                <w:rFonts w:ascii="Times New Roman" w:hAnsi="Times New Roman" w:cs="Times New Roman"/>
              </w:rPr>
            </w:pPr>
            <w:r>
              <w:rPr>
                <w:rFonts w:ascii="Times New Roman" w:hAnsi="Times New Roman" w:cs="Times New Roman"/>
              </w:rPr>
              <w:t>Afschrijvingen</w:t>
            </w:r>
          </w:p>
        </w:tc>
      </w:tr>
      <w:tr w:rsidR="001D262C" w:rsidTr="00091518">
        <w:tc>
          <w:tcPr>
            <w:tcW w:w="4077" w:type="dxa"/>
          </w:tcPr>
          <w:p w:rsidR="001D262C" w:rsidRPr="00265F86" w:rsidRDefault="001D262C" w:rsidP="00091518">
            <w:pPr>
              <w:rPr>
                <w:rFonts w:ascii="Times New Roman" w:hAnsi="Times New Roman" w:cs="Times New Roman"/>
              </w:rPr>
            </w:pPr>
            <w:r w:rsidRPr="00265F86">
              <w:rPr>
                <w:rFonts w:ascii="Times New Roman" w:hAnsi="Times New Roman" w:cs="Times New Roman"/>
              </w:rPr>
              <w:t>Cumulatieve afschrijving gebouwen</w:t>
            </w:r>
          </w:p>
        </w:tc>
        <w:tc>
          <w:tcPr>
            <w:tcW w:w="2064" w:type="dxa"/>
          </w:tcPr>
          <w:p w:rsidR="001D262C" w:rsidRPr="00265F86" w:rsidRDefault="001D262C" w:rsidP="00091518">
            <w:pPr>
              <w:rPr>
                <w:rFonts w:ascii="Times New Roman" w:hAnsi="Times New Roman" w:cs="Times New Roman"/>
              </w:rPr>
            </w:pPr>
            <w:r>
              <w:rPr>
                <w:rFonts w:ascii="Times New Roman" w:hAnsi="Times New Roman" w:cs="Times New Roman"/>
              </w:rPr>
              <w:t>Balans</w:t>
            </w:r>
          </w:p>
        </w:tc>
        <w:tc>
          <w:tcPr>
            <w:tcW w:w="3071" w:type="dxa"/>
          </w:tcPr>
          <w:p w:rsidR="001D262C" w:rsidRPr="00265F86" w:rsidRDefault="001D262C" w:rsidP="00091518">
            <w:pPr>
              <w:rPr>
                <w:rFonts w:ascii="Times New Roman" w:hAnsi="Times New Roman" w:cs="Times New Roman"/>
              </w:rPr>
            </w:pPr>
            <w:r>
              <w:rPr>
                <w:rFonts w:ascii="Times New Roman" w:hAnsi="Times New Roman" w:cs="Times New Roman"/>
              </w:rPr>
              <w:t>Materiële vaste activa</w:t>
            </w:r>
          </w:p>
        </w:tc>
      </w:tr>
      <w:tr w:rsidR="001D262C" w:rsidTr="00091518">
        <w:tc>
          <w:tcPr>
            <w:tcW w:w="4077" w:type="dxa"/>
          </w:tcPr>
          <w:p w:rsidR="001D262C" w:rsidRPr="00265F86" w:rsidRDefault="001D262C" w:rsidP="00091518">
            <w:pPr>
              <w:rPr>
                <w:rFonts w:ascii="Times New Roman" w:hAnsi="Times New Roman" w:cs="Times New Roman"/>
              </w:rPr>
            </w:pPr>
            <w:r w:rsidRPr="00265F86">
              <w:rPr>
                <w:rFonts w:ascii="Times New Roman" w:hAnsi="Times New Roman" w:cs="Times New Roman"/>
              </w:rPr>
              <w:t>Vooruitbetaalde kosten</w:t>
            </w:r>
          </w:p>
        </w:tc>
        <w:tc>
          <w:tcPr>
            <w:tcW w:w="2064" w:type="dxa"/>
          </w:tcPr>
          <w:p w:rsidR="001D262C" w:rsidRPr="00265F86" w:rsidRDefault="001D262C" w:rsidP="00091518">
            <w:pPr>
              <w:rPr>
                <w:rFonts w:ascii="Times New Roman" w:hAnsi="Times New Roman" w:cs="Times New Roman"/>
              </w:rPr>
            </w:pPr>
            <w:r>
              <w:rPr>
                <w:rFonts w:ascii="Times New Roman" w:hAnsi="Times New Roman" w:cs="Times New Roman"/>
              </w:rPr>
              <w:t>Balans</w:t>
            </w:r>
          </w:p>
        </w:tc>
        <w:tc>
          <w:tcPr>
            <w:tcW w:w="3071" w:type="dxa"/>
          </w:tcPr>
          <w:p w:rsidR="001D262C" w:rsidRPr="00265F86" w:rsidRDefault="001D262C" w:rsidP="00091518">
            <w:pPr>
              <w:rPr>
                <w:rFonts w:ascii="Times New Roman" w:hAnsi="Times New Roman" w:cs="Times New Roman"/>
              </w:rPr>
            </w:pPr>
            <w:r>
              <w:rPr>
                <w:rFonts w:ascii="Times New Roman" w:hAnsi="Times New Roman" w:cs="Times New Roman"/>
              </w:rPr>
              <w:t>Vorderingen en overlopende activa</w:t>
            </w:r>
          </w:p>
        </w:tc>
      </w:tr>
      <w:tr w:rsidR="001D262C" w:rsidTr="00091518">
        <w:tc>
          <w:tcPr>
            <w:tcW w:w="4077" w:type="dxa"/>
          </w:tcPr>
          <w:p w:rsidR="001D262C" w:rsidRPr="00265F86" w:rsidRDefault="001D262C" w:rsidP="00091518">
            <w:pPr>
              <w:rPr>
                <w:rFonts w:ascii="Times New Roman" w:hAnsi="Times New Roman" w:cs="Times New Roman"/>
              </w:rPr>
            </w:pPr>
            <w:r w:rsidRPr="00265F86">
              <w:rPr>
                <w:rFonts w:ascii="Times New Roman" w:hAnsi="Times New Roman" w:cs="Times New Roman"/>
              </w:rPr>
              <w:t>Vooruitontvangen opbrengsten</w:t>
            </w:r>
          </w:p>
        </w:tc>
        <w:tc>
          <w:tcPr>
            <w:tcW w:w="2064" w:type="dxa"/>
          </w:tcPr>
          <w:p w:rsidR="001D262C" w:rsidRPr="00265F86" w:rsidRDefault="001D262C" w:rsidP="00091518">
            <w:pPr>
              <w:rPr>
                <w:rFonts w:ascii="Times New Roman" w:hAnsi="Times New Roman" w:cs="Times New Roman"/>
              </w:rPr>
            </w:pPr>
            <w:r>
              <w:rPr>
                <w:rFonts w:ascii="Times New Roman" w:hAnsi="Times New Roman" w:cs="Times New Roman"/>
              </w:rPr>
              <w:t>Balans</w:t>
            </w:r>
          </w:p>
        </w:tc>
        <w:tc>
          <w:tcPr>
            <w:tcW w:w="3071" w:type="dxa"/>
          </w:tcPr>
          <w:p w:rsidR="001D262C" w:rsidRPr="00265F86" w:rsidRDefault="001D262C" w:rsidP="00091518">
            <w:pPr>
              <w:rPr>
                <w:rFonts w:ascii="Times New Roman" w:hAnsi="Times New Roman" w:cs="Times New Roman"/>
              </w:rPr>
            </w:pPr>
            <w:r>
              <w:rPr>
                <w:rFonts w:ascii="Times New Roman" w:hAnsi="Times New Roman" w:cs="Times New Roman"/>
              </w:rPr>
              <w:t>Kortlopende schulden</w:t>
            </w:r>
          </w:p>
        </w:tc>
      </w:tr>
      <w:tr w:rsidR="001D262C" w:rsidTr="00091518">
        <w:tc>
          <w:tcPr>
            <w:tcW w:w="4077" w:type="dxa"/>
          </w:tcPr>
          <w:p w:rsidR="001D262C" w:rsidRPr="00265F86" w:rsidRDefault="001D262C" w:rsidP="00091518">
            <w:pPr>
              <w:rPr>
                <w:rFonts w:ascii="Times New Roman" w:hAnsi="Times New Roman" w:cs="Times New Roman"/>
              </w:rPr>
            </w:pPr>
            <w:r w:rsidRPr="00265F86">
              <w:rPr>
                <w:rFonts w:ascii="Times New Roman" w:hAnsi="Times New Roman" w:cs="Times New Roman"/>
              </w:rPr>
              <w:t>Deelneming</w:t>
            </w:r>
          </w:p>
        </w:tc>
        <w:tc>
          <w:tcPr>
            <w:tcW w:w="2064" w:type="dxa"/>
          </w:tcPr>
          <w:p w:rsidR="001D262C" w:rsidRPr="00265F86" w:rsidRDefault="001D262C" w:rsidP="00091518">
            <w:pPr>
              <w:rPr>
                <w:rFonts w:ascii="Times New Roman" w:hAnsi="Times New Roman" w:cs="Times New Roman"/>
              </w:rPr>
            </w:pPr>
            <w:r>
              <w:rPr>
                <w:rFonts w:ascii="Times New Roman" w:hAnsi="Times New Roman" w:cs="Times New Roman"/>
              </w:rPr>
              <w:t>Balans</w:t>
            </w:r>
          </w:p>
        </w:tc>
        <w:tc>
          <w:tcPr>
            <w:tcW w:w="3071" w:type="dxa"/>
          </w:tcPr>
          <w:p w:rsidR="001D262C" w:rsidRPr="00265F86" w:rsidRDefault="001D262C" w:rsidP="00091518">
            <w:pPr>
              <w:rPr>
                <w:rFonts w:ascii="Times New Roman" w:hAnsi="Times New Roman" w:cs="Times New Roman"/>
              </w:rPr>
            </w:pPr>
            <w:r>
              <w:rPr>
                <w:rFonts w:ascii="Times New Roman" w:hAnsi="Times New Roman" w:cs="Times New Roman"/>
              </w:rPr>
              <w:t>Financiële vaste activa</w:t>
            </w:r>
          </w:p>
        </w:tc>
      </w:tr>
      <w:tr w:rsidR="001D262C" w:rsidTr="00091518">
        <w:tc>
          <w:tcPr>
            <w:tcW w:w="4077" w:type="dxa"/>
          </w:tcPr>
          <w:p w:rsidR="001D262C" w:rsidRPr="00265F86" w:rsidRDefault="001D262C" w:rsidP="00091518">
            <w:pPr>
              <w:rPr>
                <w:rFonts w:ascii="Times New Roman" w:hAnsi="Times New Roman" w:cs="Times New Roman"/>
              </w:rPr>
            </w:pPr>
            <w:r>
              <w:rPr>
                <w:rFonts w:ascii="Times New Roman" w:hAnsi="Times New Roman" w:cs="Times New Roman"/>
              </w:rPr>
              <w:t>Aandelen Philips</w:t>
            </w:r>
          </w:p>
        </w:tc>
        <w:tc>
          <w:tcPr>
            <w:tcW w:w="2064" w:type="dxa"/>
          </w:tcPr>
          <w:p w:rsidR="001D262C" w:rsidRPr="00265F86" w:rsidRDefault="001D262C" w:rsidP="00091518">
            <w:pPr>
              <w:rPr>
                <w:rFonts w:ascii="Times New Roman" w:hAnsi="Times New Roman" w:cs="Times New Roman"/>
              </w:rPr>
            </w:pPr>
            <w:r>
              <w:rPr>
                <w:rFonts w:ascii="Times New Roman" w:hAnsi="Times New Roman" w:cs="Times New Roman"/>
              </w:rPr>
              <w:t>Balans</w:t>
            </w:r>
          </w:p>
        </w:tc>
        <w:tc>
          <w:tcPr>
            <w:tcW w:w="3071" w:type="dxa"/>
          </w:tcPr>
          <w:p w:rsidR="001D262C" w:rsidRPr="00265F86" w:rsidRDefault="001D262C" w:rsidP="00091518">
            <w:pPr>
              <w:rPr>
                <w:rFonts w:ascii="Times New Roman" w:hAnsi="Times New Roman" w:cs="Times New Roman"/>
              </w:rPr>
            </w:pPr>
            <w:r>
              <w:rPr>
                <w:rFonts w:ascii="Times New Roman" w:hAnsi="Times New Roman" w:cs="Times New Roman"/>
              </w:rPr>
              <w:t>Effecten</w:t>
            </w:r>
          </w:p>
        </w:tc>
      </w:tr>
      <w:tr w:rsidR="001D262C" w:rsidTr="00091518">
        <w:tc>
          <w:tcPr>
            <w:tcW w:w="4077" w:type="dxa"/>
          </w:tcPr>
          <w:p w:rsidR="001D262C" w:rsidRPr="00265F86" w:rsidRDefault="001D262C" w:rsidP="00091518">
            <w:pPr>
              <w:rPr>
                <w:rFonts w:ascii="Times New Roman" w:hAnsi="Times New Roman" w:cs="Times New Roman"/>
              </w:rPr>
            </w:pPr>
            <w:r>
              <w:rPr>
                <w:rFonts w:ascii="Times New Roman" w:hAnsi="Times New Roman" w:cs="Times New Roman"/>
              </w:rPr>
              <w:t>Boekwinst verkoop machines</w:t>
            </w:r>
          </w:p>
        </w:tc>
        <w:tc>
          <w:tcPr>
            <w:tcW w:w="2064" w:type="dxa"/>
          </w:tcPr>
          <w:p w:rsidR="001D262C" w:rsidRPr="00265F86" w:rsidRDefault="001D262C" w:rsidP="00091518">
            <w:pPr>
              <w:rPr>
                <w:rFonts w:ascii="Times New Roman" w:hAnsi="Times New Roman" w:cs="Times New Roman"/>
              </w:rPr>
            </w:pPr>
            <w:r>
              <w:rPr>
                <w:rFonts w:ascii="Times New Roman" w:hAnsi="Times New Roman" w:cs="Times New Roman"/>
              </w:rPr>
              <w:t>W&amp;V</w:t>
            </w:r>
          </w:p>
        </w:tc>
        <w:tc>
          <w:tcPr>
            <w:tcW w:w="3071" w:type="dxa"/>
          </w:tcPr>
          <w:p w:rsidR="001D262C" w:rsidRPr="00265F86" w:rsidRDefault="0073196B" w:rsidP="00091518">
            <w:pPr>
              <w:rPr>
                <w:rFonts w:ascii="Times New Roman" w:hAnsi="Times New Roman" w:cs="Times New Roman"/>
              </w:rPr>
            </w:pPr>
            <w:r>
              <w:rPr>
                <w:rFonts w:ascii="Times New Roman" w:hAnsi="Times New Roman" w:cs="Times New Roman"/>
              </w:rPr>
              <w:t>Overige bedrijfsopbrengsten</w:t>
            </w:r>
          </w:p>
        </w:tc>
      </w:tr>
      <w:tr w:rsidR="001D262C" w:rsidTr="00091518">
        <w:tc>
          <w:tcPr>
            <w:tcW w:w="4077" w:type="dxa"/>
          </w:tcPr>
          <w:p w:rsidR="001D262C" w:rsidRPr="00265F86" w:rsidRDefault="001D262C" w:rsidP="00091518">
            <w:pPr>
              <w:rPr>
                <w:rFonts w:ascii="Times New Roman" w:hAnsi="Times New Roman" w:cs="Times New Roman"/>
              </w:rPr>
            </w:pPr>
            <w:r>
              <w:rPr>
                <w:rFonts w:ascii="Times New Roman" w:hAnsi="Times New Roman" w:cs="Times New Roman"/>
              </w:rPr>
              <w:t>Grond</w:t>
            </w:r>
          </w:p>
        </w:tc>
        <w:tc>
          <w:tcPr>
            <w:tcW w:w="2064" w:type="dxa"/>
          </w:tcPr>
          <w:p w:rsidR="001D262C" w:rsidRPr="00265F86" w:rsidRDefault="001D262C" w:rsidP="00091518">
            <w:pPr>
              <w:rPr>
                <w:rFonts w:ascii="Times New Roman" w:hAnsi="Times New Roman" w:cs="Times New Roman"/>
              </w:rPr>
            </w:pPr>
            <w:r>
              <w:rPr>
                <w:rFonts w:ascii="Times New Roman" w:hAnsi="Times New Roman" w:cs="Times New Roman"/>
              </w:rPr>
              <w:t>Balans</w:t>
            </w:r>
          </w:p>
        </w:tc>
        <w:tc>
          <w:tcPr>
            <w:tcW w:w="3071" w:type="dxa"/>
          </w:tcPr>
          <w:p w:rsidR="001D262C" w:rsidRPr="00265F86" w:rsidRDefault="001D262C" w:rsidP="00091518">
            <w:pPr>
              <w:rPr>
                <w:rFonts w:ascii="Times New Roman" w:hAnsi="Times New Roman" w:cs="Times New Roman"/>
              </w:rPr>
            </w:pPr>
            <w:r>
              <w:rPr>
                <w:rFonts w:ascii="Times New Roman" w:hAnsi="Times New Roman" w:cs="Times New Roman"/>
              </w:rPr>
              <w:t>Materiële vaste activa</w:t>
            </w:r>
          </w:p>
        </w:tc>
      </w:tr>
      <w:tr w:rsidR="001D262C" w:rsidTr="00091518">
        <w:tc>
          <w:tcPr>
            <w:tcW w:w="4077" w:type="dxa"/>
          </w:tcPr>
          <w:p w:rsidR="001D262C" w:rsidRPr="00265F86" w:rsidRDefault="001D262C" w:rsidP="00091518">
            <w:pPr>
              <w:rPr>
                <w:rFonts w:ascii="Times New Roman" w:hAnsi="Times New Roman" w:cs="Times New Roman"/>
              </w:rPr>
            </w:pPr>
            <w:r>
              <w:rPr>
                <w:rFonts w:ascii="Times New Roman" w:hAnsi="Times New Roman" w:cs="Times New Roman"/>
              </w:rPr>
              <w:t>Materiaalkosten</w:t>
            </w:r>
          </w:p>
        </w:tc>
        <w:tc>
          <w:tcPr>
            <w:tcW w:w="2064" w:type="dxa"/>
          </w:tcPr>
          <w:p w:rsidR="001D262C" w:rsidRPr="00265F86" w:rsidRDefault="001D262C" w:rsidP="00091518">
            <w:pPr>
              <w:rPr>
                <w:rFonts w:ascii="Times New Roman" w:hAnsi="Times New Roman" w:cs="Times New Roman"/>
              </w:rPr>
            </w:pPr>
            <w:r>
              <w:rPr>
                <w:rFonts w:ascii="Times New Roman" w:hAnsi="Times New Roman" w:cs="Times New Roman"/>
              </w:rPr>
              <w:t>W&amp;V</w:t>
            </w:r>
          </w:p>
        </w:tc>
        <w:tc>
          <w:tcPr>
            <w:tcW w:w="3071" w:type="dxa"/>
          </w:tcPr>
          <w:p w:rsidR="001D262C" w:rsidRPr="00265F86" w:rsidRDefault="0073196B" w:rsidP="00091518">
            <w:pPr>
              <w:rPr>
                <w:rFonts w:ascii="Times New Roman" w:hAnsi="Times New Roman" w:cs="Times New Roman"/>
              </w:rPr>
            </w:pPr>
            <w:r>
              <w:rPr>
                <w:rFonts w:ascii="Times New Roman" w:hAnsi="Times New Roman" w:cs="Times New Roman"/>
              </w:rPr>
              <w:t>Kosten grond- en hulpstoffen</w:t>
            </w:r>
          </w:p>
        </w:tc>
      </w:tr>
      <w:tr w:rsidR="001D262C" w:rsidTr="00091518">
        <w:tc>
          <w:tcPr>
            <w:tcW w:w="4077" w:type="dxa"/>
          </w:tcPr>
          <w:p w:rsidR="001D262C" w:rsidRPr="00265F86" w:rsidRDefault="001D262C" w:rsidP="00091518">
            <w:pPr>
              <w:rPr>
                <w:rFonts w:ascii="Times New Roman" w:hAnsi="Times New Roman" w:cs="Times New Roman"/>
              </w:rPr>
            </w:pPr>
            <w:r>
              <w:rPr>
                <w:rFonts w:ascii="Times New Roman" w:hAnsi="Times New Roman" w:cs="Times New Roman"/>
              </w:rPr>
              <w:t>Verlies door nationalisatie</w:t>
            </w:r>
          </w:p>
        </w:tc>
        <w:tc>
          <w:tcPr>
            <w:tcW w:w="2064" w:type="dxa"/>
          </w:tcPr>
          <w:p w:rsidR="001D262C" w:rsidRPr="00265F86" w:rsidRDefault="001D262C" w:rsidP="00091518">
            <w:pPr>
              <w:rPr>
                <w:rFonts w:ascii="Times New Roman" w:hAnsi="Times New Roman" w:cs="Times New Roman"/>
              </w:rPr>
            </w:pPr>
            <w:r>
              <w:rPr>
                <w:rFonts w:ascii="Times New Roman" w:hAnsi="Times New Roman" w:cs="Times New Roman"/>
              </w:rPr>
              <w:t>W&amp;V</w:t>
            </w:r>
          </w:p>
        </w:tc>
        <w:tc>
          <w:tcPr>
            <w:tcW w:w="3071" w:type="dxa"/>
          </w:tcPr>
          <w:p w:rsidR="001D262C" w:rsidRPr="00265F86" w:rsidRDefault="0073196B" w:rsidP="00091518">
            <w:pPr>
              <w:rPr>
                <w:rFonts w:ascii="Times New Roman" w:hAnsi="Times New Roman" w:cs="Times New Roman"/>
              </w:rPr>
            </w:pPr>
            <w:r>
              <w:rPr>
                <w:rFonts w:ascii="Times New Roman" w:hAnsi="Times New Roman" w:cs="Times New Roman"/>
              </w:rPr>
              <w:t>Buitengewoon resultaat</w:t>
            </w:r>
          </w:p>
        </w:tc>
      </w:tr>
    </w:tbl>
    <w:p w:rsidR="003B7656" w:rsidRPr="003B7656" w:rsidRDefault="003B7656" w:rsidP="00C13108">
      <w:pPr>
        <w:spacing w:after="0"/>
        <w:rPr>
          <w:rFonts w:ascii="Times New Roman" w:hAnsi="Times New Roman" w:cs="Times New Roman"/>
          <w:b/>
        </w:rPr>
      </w:pPr>
    </w:p>
    <w:sectPr w:rsidR="003B7656" w:rsidRPr="003B7656" w:rsidSect="00AE05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108" w:rsidRDefault="00C13108" w:rsidP="00C13108">
      <w:pPr>
        <w:spacing w:after="0" w:line="240" w:lineRule="auto"/>
      </w:pPr>
      <w:r>
        <w:separator/>
      </w:r>
    </w:p>
  </w:endnote>
  <w:endnote w:type="continuationSeparator" w:id="0">
    <w:p w:rsidR="00C13108" w:rsidRDefault="00C13108" w:rsidP="00C13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197" w:rsidRDefault="003E419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108" w:rsidRPr="003E4197" w:rsidRDefault="00C13108">
    <w:pPr>
      <w:pStyle w:val="Voettekst"/>
      <w:rPr>
        <w:rFonts w:ascii="Times New Roman" w:hAnsi="Times New Roman" w:cs="Times New Roman"/>
        <w:b/>
      </w:rPr>
    </w:pPr>
    <w:r w:rsidRPr="003E4197">
      <w:rPr>
        <w:rFonts w:ascii="Times New Roman" w:eastAsia="Calibri" w:hAnsi="Times New Roman" w:cs="Times New Roman"/>
        <w:b/>
        <w:sz w:val="20"/>
        <w:szCs w:val="20"/>
      </w:rPr>
      <w:t>© Convoy Uitgevers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197" w:rsidRDefault="003E419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108" w:rsidRDefault="00C13108" w:rsidP="00C13108">
      <w:pPr>
        <w:spacing w:after="0" w:line="240" w:lineRule="auto"/>
      </w:pPr>
      <w:r>
        <w:separator/>
      </w:r>
    </w:p>
  </w:footnote>
  <w:footnote w:type="continuationSeparator" w:id="0">
    <w:p w:rsidR="00C13108" w:rsidRDefault="00C13108" w:rsidP="00C131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197" w:rsidRDefault="003E419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108" w:rsidRPr="003E4197" w:rsidRDefault="00C13108" w:rsidP="00C13108">
    <w:pPr>
      <w:pStyle w:val="Koptekst"/>
      <w:rPr>
        <w:rFonts w:ascii="Times New Roman" w:hAnsi="Times New Roman" w:cs="Times New Roman"/>
        <w:b/>
        <w:sz w:val="20"/>
        <w:szCs w:val="20"/>
      </w:rPr>
    </w:pPr>
    <w:r w:rsidRPr="003E4197">
      <w:rPr>
        <w:rFonts w:ascii="Times New Roman" w:eastAsia="Calibri" w:hAnsi="Times New Roman" w:cs="Times New Roman"/>
        <w:b/>
        <w:sz w:val="20"/>
        <w:szCs w:val="20"/>
      </w:rPr>
      <w:t>Hoofdstuk 1</w:t>
    </w:r>
    <w:r w:rsidRPr="003E4197">
      <w:rPr>
        <w:rFonts w:ascii="Times New Roman" w:eastAsia="Calibri" w:hAnsi="Times New Roman" w:cs="Times New Roman"/>
        <w:b/>
        <w:sz w:val="20"/>
        <w:szCs w:val="20"/>
      </w:rPr>
      <w:tab/>
    </w:r>
    <w:r w:rsidRPr="003E4197">
      <w:rPr>
        <w:rFonts w:ascii="Times New Roman" w:eastAsia="Calibri" w:hAnsi="Times New Roman" w:cs="Times New Roman"/>
        <w:b/>
        <w:sz w:val="20"/>
        <w:szCs w:val="20"/>
      </w:rPr>
      <w:tab/>
    </w:r>
    <w:r w:rsidRPr="003E4197">
      <w:rPr>
        <w:rFonts w:ascii="Times New Roman" w:hAnsi="Times New Roman" w:cs="Times New Roman"/>
        <w:b/>
        <w:sz w:val="20"/>
        <w:szCs w:val="20"/>
      </w:rPr>
      <w:t>ABM3: De Commerciële Jaarrekening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197" w:rsidRDefault="003E4197">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rsids>
    <w:rsidRoot w:val="00E51846"/>
    <w:rsid w:val="00055119"/>
    <w:rsid w:val="00160AE3"/>
    <w:rsid w:val="001D262C"/>
    <w:rsid w:val="00206551"/>
    <w:rsid w:val="002646DE"/>
    <w:rsid w:val="003B7656"/>
    <w:rsid w:val="003E4197"/>
    <w:rsid w:val="004C52C2"/>
    <w:rsid w:val="004C5B48"/>
    <w:rsid w:val="004E174C"/>
    <w:rsid w:val="006C4AA4"/>
    <w:rsid w:val="0073196B"/>
    <w:rsid w:val="009B6F70"/>
    <w:rsid w:val="00A52FC2"/>
    <w:rsid w:val="00AA1590"/>
    <w:rsid w:val="00AE0567"/>
    <w:rsid w:val="00C13108"/>
    <w:rsid w:val="00E51846"/>
    <w:rsid w:val="00EA7C32"/>
    <w:rsid w:val="00F259E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05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lang w:eastAsia="nl-NL"/>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rsid w:val="009B6F7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nhideWhenUsed/>
    <w:rsid w:val="00C13108"/>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C13108"/>
  </w:style>
  <w:style w:type="paragraph" w:styleId="Voettekst">
    <w:name w:val="footer"/>
    <w:basedOn w:val="Standaard"/>
    <w:link w:val="VoettekstChar"/>
    <w:uiPriority w:val="99"/>
    <w:unhideWhenUsed/>
    <w:rsid w:val="00C1310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C131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d.jacobse</cp:lastModifiedBy>
  <cp:revision>8</cp:revision>
  <dcterms:created xsi:type="dcterms:W3CDTF">2015-01-08T14:05:00Z</dcterms:created>
  <dcterms:modified xsi:type="dcterms:W3CDTF">2016-04-14T09:08:00Z</dcterms:modified>
</cp:coreProperties>
</file>