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94" w:rsidRPr="00CC02FB" w:rsidRDefault="002D5294" w:rsidP="002D5294">
      <w:pPr>
        <w:pStyle w:val="k1nr"/>
        <w:jc w:val="left"/>
        <w:rPr>
          <w:color w:val="auto"/>
          <w:lang w:val="nl-NL"/>
        </w:rPr>
      </w:pPr>
      <w:r w:rsidRPr="00CC02FB">
        <w:rPr>
          <w:color w:val="auto"/>
          <w:lang w:val="nl-NL"/>
        </w:rPr>
        <w:t>6</w:t>
      </w:r>
    </w:p>
    <w:p w:rsidR="002D5294" w:rsidRPr="00CC02FB" w:rsidRDefault="002D5294" w:rsidP="002D5294">
      <w:pPr>
        <w:pStyle w:val="k1kop1"/>
        <w:rPr>
          <w:color w:val="auto"/>
          <w:lang w:val="nl-NL"/>
        </w:rPr>
      </w:pPr>
      <w:r w:rsidRPr="00CC02FB">
        <w:rPr>
          <w:color w:val="auto"/>
          <w:lang w:val="nl-NL"/>
        </w:rPr>
        <w:t>Commerciële jaarrekening bij kleine rechtspersonen</w:t>
      </w:r>
    </w:p>
    <w:p w:rsidR="002D5294" w:rsidRPr="00CC02FB" w:rsidRDefault="002D5294" w:rsidP="002D5294">
      <w:pPr>
        <w:pStyle w:val="k2kop2aopgaven"/>
        <w:rPr>
          <w:rStyle w:val="Bold"/>
          <w:b/>
          <w:color w:val="auto"/>
          <w:lang w:val="nl-NL"/>
        </w:rPr>
      </w:pPr>
      <w:r w:rsidRPr="00CC02FB">
        <w:rPr>
          <w:lang w:val="nl-NL"/>
        </w:rPr>
        <w:t>Opgave 6.</w:t>
      </w:r>
      <w:r w:rsidRPr="00CC02FB">
        <w:rPr>
          <w:rStyle w:val="Bold"/>
          <w:b/>
          <w:color w:val="auto"/>
          <w:lang w:val="nl-NL"/>
        </w:rPr>
        <w:t>1</w:t>
      </w:r>
    </w:p>
    <w:p w:rsidR="002D5294" w:rsidRPr="00CC02FB" w:rsidRDefault="002D5294" w:rsidP="002D5294">
      <w:pPr>
        <w:pStyle w:val="k2kop2bopgaven"/>
        <w:rPr>
          <w:lang w:val="nl-NL"/>
        </w:rPr>
      </w:pPr>
      <w:r w:rsidRPr="00CC02FB">
        <w:rPr>
          <w:lang w:val="nl-NL"/>
        </w:rPr>
        <w:t>(waardering van een deelneming bij een kleine rechtspersoon)</w:t>
      </w:r>
    </w:p>
    <w:p w:rsidR="002D5294" w:rsidRPr="00CC02FB" w:rsidRDefault="002D5294" w:rsidP="002D5294">
      <w:pPr>
        <w:pStyle w:val="pt"/>
        <w:rPr>
          <w:lang w:val="nl-NL"/>
        </w:rPr>
      </w:pPr>
    </w:p>
    <w:p w:rsidR="002D5294" w:rsidRPr="00CC02FB" w:rsidRDefault="002D5294" w:rsidP="002D5294">
      <w:pPr>
        <w:pStyle w:val="pt"/>
        <w:rPr>
          <w:lang w:val="nl-NL"/>
        </w:rPr>
      </w:pPr>
      <w:r w:rsidRPr="00CC02FB">
        <w:rPr>
          <w:lang w:val="nl-NL"/>
        </w:rPr>
        <w:t>De twee mogelijkheden voor de waardering van de deelneming:</w:t>
      </w:r>
    </w:p>
    <w:p w:rsidR="002D5294" w:rsidRPr="00CC02FB" w:rsidRDefault="002D5294" w:rsidP="002D5294">
      <w:pPr>
        <w:pStyle w:val="pt"/>
        <w:rPr>
          <w:lang w:val="nl-NL"/>
        </w:rPr>
      </w:pPr>
    </w:p>
    <w:p w:rsidR="002D5294" w:rsidRPr="00CC02FB" w:rsidRDefault="002D5294" w:rsidP="002D5294">
      <w:pPr>
        <w:pStyle w:val="ptopslijst1"/>
        <w:rPr>
          <w:lang w:val="nl-NL"/>
        </w:rPr>
      </w:pPr>
      <w:r w:rsidRPr="00CC02FB">
        <w:rPr>
          <w:lang w:val="nl-NL"/>
        </w:rPr>
        <w:t>1.</w:t>
      </w:r>
      <w:r w:rsidRPr="00CC02FB">
        <w:rPr>
          <w:lang w:val="nl-NL"/>
        </w:rPr>
        <w:tab/>
        <w:t>Waardering volgens de gebruikelijke fiscale regels. Dit houdt in dat de deelneming op de balans steeds wordt gewaardeerd op de historische kostprijs van € 600.000, en dat over 2015 geen resultaat wordt opgenomen omdat in dat jaar geen dividenduitkering heeft plaatsgevonden.</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2.</w:t>
      </w:r>
      <w:r w:rsidRPr="00CC02FB">
        <w:rPr>
          <w:lang w:val="nl-NL"/>
        </w:rPr>
        <w:tab/>
        <w:t xml:space="preserve">Waardering volgens het voorstel van de Richtlijnen voor de Jaarverslaggeving, namelijk op de </w:t>
      </w:r>
      <w:proofErr w:type="spellStart"/>
      <w:r w:rsidRPr="00CC02FB">
        <w:rPr>
          <w:lang w:val="nl-NL"/>
        </w:rPr>
        <w:t>nettovermogenswaarde</w:t>
      </w:r>
      <w:proofErr w:type="spellEnd"/>
      <w:r w:rsidRPr="00CC02FB">
        <w:rPr>
          <w:lang w:val="nl-NL"/>
        </w:rPr>
        <w:t xml:space="preserve">. Dit houdt in dat de deelneming op de balans per 31 december 2015 wordt gewaardeerd op de </w:t>
      </w:r>
      <w:proofErr w:type="spellStart"/>
      <w:r w:rsidRPr="00CC02FB">
        <w:rPr>
          <w:lang w:val="nl-NL"/>
        </w:rPr>
        <w:t>nettovermogenswaarde</w:t>
      </w:r>
      <w:proofErr w:type="spellEnd"/>
      <w:r w:rsidRPr="00CC02FB">
        <w:rPr>
          <w:lang w:val="nl-NL"/>
        </w:rPr>
        <w:t xml:space="preserve"> van € 500.000 + € 100.000 = € 600.000. Daarnaast wordt de goodwill op de balans opgenomen, verminderd met de afschrijving over 2015.</w:t>
      </w:r>
    </w:p>
    <w:p w:rsidR="002D5294" w:rsidRPr="00CC02FB" w:rsidRDefault="002D5294" w:rsidP="002D5294">
      <w:pPr>
        <w:pStyle w:val="k2kop2aopgaven"/>
        <w:rPr>
          <w:rStyle w:val="Bold"/>
          <w:b/>
          <w:lang w:val="nl-NL"/>
        </w:rPr>
      </w:pPr>
      <w:r w:rsidRPr="00CC02FB">
        <w:rPr>
          <w:lang w:val="nl-NL"/>
        </w:rPr>
        <w:t>Opgave</w:t>
      </w:r>
      <w:r w:rsidRPr="00CC02FB">
        <w:rPr>
          <w:rStyle w:val="Bold"/>
          <w:b/>
          <w:lang w:val="nl-NL"/>
        </w:rPr>
        <w:t xml:space="preserve"> 6.2</w:t>
      </w:r>
    </w:p>
    <w:p w:rsidR="002D5294" w:rsidRPr="00CC02FB" w:rsidRDefault="002D5294" w:rsidP="002D5294">
      <w:pPr>
        <w:pStyle w:val="k2kop2bopgaven"/>
        <w:rPr>
          <w:lang w:val="nl-NL"/>
        </w:rPr>
      </w:pPr>
      <w:r w:rsidRPr="00CC02FB">
        <w:rPr>
          <w:lang w:val="nl-NL"/>
        </w:rPr>
        <w:t>(waardering van een deelneming bij een kleine rechtspersoon)</w:t>
      </w:r>
    </w:p>
    <w:p w:rsidR="002D5294" w:rsidRPr="00CC02FB" w:rsidRDefault="002D5294" w:rsidP="002D5294">
      <w:pPr>
        <w:pStyle w:val="k2kop2bopgaven"/>
        <w:rPr>
          <w:lang w:val="nl-NL"/>
        </w:rPr>
      </w:pPr>
    </w:p>
    <w:p w:rsidR="002D5294" w:rsidRPr="00CC02FB" w:rsidRDefault="002D5294" w:rsidP="002D5294">
      <w:pPr>
        <w:pStyle w:val="ptopslijst1"/>
        <w:rPr>
          <w:lang w:val="nl-NL"/>
        </w:rPr>
      </w:pPr>
      <w:r w:rsidRPr="00CC02FB">
        <w:rPr>
          <w:lang w:val="nl-NL"/>
        </w:rPr>
        <w:t>1.</w:t>
      </w:r>
      <w:r w:rsidRPr="00CC02FB">
        <w:rPr>
          <w:lang w:val="nl-NL"/>
        </w:rPr>
        <w:tab/>
        <w:t>De journaalpost van de verwerving van de deelneming:</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051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Aandelen</w:t>
            </w:r>
            <w:proofErr w:type="spellEnd"/>
            <w:r w:rsidRPr="00884BD1">
              <w:rPr>
                <w:color w:val="auto"/>
              </w:rPr>
              <w:t xml:space="preserve"> in </w:t>
            </w:r>
            <w:proofErr w:type="spellStart"/>
            <w:r w:rsidRPr="00884BD1">
              <w:rPr>
                <w:color w:val="auto"/>
              </w:rPr>
              <w:t>portefeuille</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400.000</w:t>
            </w: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053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Agio</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200.000</w:t>
            </w:r>
          </w:p>
        </w:tc>
      </w:tr>
    </w:tbl>
    <w:p w:rsidR="002D5294" w:rsidRPr="005E489B" w:rsidRDefault="002D5294" w:rsidP="002D5294">
      <w:pPr>
        <w:pStyle w:val="pt"/>
      </w:pPr>
    </w:p>
    <w:p w:rsidR="002D5294" w:rsidRPr="00CC02FB" w:rsidRDefault="002D5294" w:rsidP="002D5294">
      <w:pPr>
        <w:pStyle w:val="ptopslijst1"/>
        <w:rPr>
          <w:lang w:val="nl-NL"/>
        </w:rPr>
      </w:pPr>
      <w:r w:rsidRPr="00CC02FB">
        <w:rPr>
          <w:lang w:val="nl-NL"/>
        </w:rPr>
        <w:t>2.</w:t>
      </w:r>
      <w:r w:rsidRPr="00CC02FB">
        <w:rPr>
          <w:lang w:val="nl-NL"/>
        </w:rPr>
        <w:tab/>
        <w:t>Omdat er geen dividend is uitgekeerd, is er geen opbrengst. Derhalve is er geen journaalpost.</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3.</w:t>
      </w:r>
      <w:r w:rsidRPr="00CC02FB">
        <w:rPr>
          <w:lang w:val="nl-NL"/>
        </w:rPr>
        <w:tab/>
        <w:t>In de vennootschappelijk winst – en dus ook in de fiscale winst – zit geen opbrengst uit deelneming, omdat is gekozen voor waardering op basis van het opgeofferde bedrag (historische kostprijs). Daarom hoeft in de staart van de vermogensvergelijking geen bedrag te worden opgenomen onder de rubriek ‘Deelnemingsvrijstelling’.</w:t>
      </w:r>
    </w:p>
    <w:p w:rsidR="002D5294" w:rsidRPr="00CC02FB" w:rsidRDefault="002D5294" w:rsidP="002D5294">
      <w:pPr>
        <w:pStyle w:val="pt"/>
        <w:rPr>
          <w:lang w:val="nl-NL"/>
        </w:rPr>
      </w:pPr>
    </w:p>
    <w:p w:rsidR="002D5294" w:rsidRPr="00CC02FB" w:rsidRDefault="002D5294" w:rsidP="002D5294">
      <w:pPr>
        <w:pStyle w:val="pt"/>
        <w:rPr>
          <w:lang w:val="nl-NL"/>
        </w:rPr>
      </w:pPr>
      <w:r w:rsidRPr="00CC02FB">
        <w:rPr>
          <w:lang w:val="nl-NL"/>
        </w:rPr>
        <w:t>4.</w:t>
      </w:r>
      <w:r w:rsidRPr="00CC02FB">
        <w:rPr>
          <w:lang w:val="nl-NL"/>
        </w:rPr>
        <w:tab/>
      </w:r>
    </w:p>
    <w:p w:rsidR="002D5294" w:rsidRPr="00CC02FB" w:rsidRDefault="002D5294" w:rsidP="002D5294">
      <w:pPr>
        <w:pStyle w:val="tabelpt23mm"/>
        <w:ind w:left="0"/>
        <w:rPr>
          <w:color w:val="auto"/>
          <w:lang w:val="nl-NL"/>
        </w:rPr>
      </w:pPr>
      <w:r w:rsidRPr="00CC02FB">
        <w:rPr>
          <w:color w:val="auto"/>
          <w:lang w:val="nl-NL"/>
        </w:rPr>
        <w:t>Grootboekrekening ‘Deelneming Ameland bv’ over 2015</w:t>
      </w:r>
    </w:p>
    <w:tbl>
      <w:tblPr>
        <w:tblW w:w="0" w:type="auto"/>
        <w:tblInd w:w="80" w:type="dxa"/>
        <w:tblLayout w:type="fixed"/>
        <w:tblCellMar>
          <w:left w:w="0" w:type="dxa"/>
          <w:right w:w="0" w:type="dxa"/>
        </w:tblCellMar>
        <w:tblLook w:val="0000"/>
      </w:tblPr>
      <w:tblGrid>
        <w:gridCol w:w="4939"/>
        <w:gridCol w:w="4939"/>
      </w:tblGrid>
      <w:tr w:rsidR="002D5294" w:rsidRPr="00884BD1" w:rsidTr="001D2BB9">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k1"/>
              <w:rPr>
                <w:color w:val="auto"/>
              </w:rPr>
            </w:pPr>
            <w:proofErr w:type="spellStart"/>
            <w:r w:rsidRPr="00C575A2">
              <w:rPr>
                <w:color w:val="auto"/>
              </w:rPr>
              <w:t>Debet</w:t>
            </w:r>
            <w:proofErr w:type="spellEnd"/>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2D5294" w:rsidRPr="00C575A2" w:rsidRDefault="002D5294" w:rsidP="001D2BB9">
            <w:pPr>
              <w:pStyle w:val="tabelk1"/>
              <w:jc w:val="right"/>
              <w:rPr>
                <w:color w:val="auto"/>
              </w:rPr>
            </w:pPr>
            <w:r w:rsidRPr="00C575A2">
              <w:rPr>
                <w:color w:val="auto"/>
              </w:rPr>
              <w:t>Credit</w:t>
            </w:r>
          </w:p>
        </w:tc>
      </w:tr>
      <w:tr w:rsidR="002D5294" w:rsidRPr="00884BD1" w:rsidTr="001D2BB9">
        <w:trPr>
          <w:trHeight w:val="60"/>
        </w:trPr>
        <w:tc>
          <w:tcPr>
            <w:tcW w:w="4939" w:type="dxa"/>
            <w:tcBorders>
              <w:top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Beginbalans</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c>
          <w:tcPr>
            <w:tcW w:w="4939" w:type="dxa"/>
            <w:tcBorders>
              <w:top w:val="single" w:sz="4" w:space="0" w:color="auto"/>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Naar</w:t>
            </w:r>
            <w:proofErr w:type="spellEnd"/>
            <w:r w:rsidRPr="00884BD1">
              <w:rPr>
                <w:color w:val="auto"/>
              </w:rPr>
              <w:t xml:space="preserve"> </w:t>
            </w:r>
            <w:proofErr w:type="spellStart"/>
            <w:r w:rsidRPr="00884BD1">
              <w:rPr>
                <w:color w:val="auto"/>
              </w:rPr>
              <w:t>eindbalans</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r>
      <w:tr w:rsidR="002D5294" w:rsidRPr="00884BD1" w:rsidTr="001D2BB9">
        <w:trPr>
          <w:trHeight w:val="60"/>
        </w:trPr>
        <w:tc>
          <w:tcPr>
            <w:tcW w:w="4939" w:type="dxa"/>
            <w:tcBorders>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Fonts w:ascii="Cambria Math" w:hAnsi="Cambria Math" w:cs="Cambria Math"/>
              </w:rPr>
              <w:t> </w:t>
            </w:r>
            <w:r w:rsidRPr="00884BD1">
              <w:t>600.000</w:t>
            </w:r>
          </w:p>
        </w:tc>
        <w:tc>
          <w:tcPr>
            <w:tcW w:w="4939" w:type="dxa"/>
            <w:tcBorders>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Fonts w:ascii="Cambria Math" w:hAnsi="Cambria Math" w:cs="Cambria Math"/>
              </w:rPr>
              <w:t> </w:t>
            </w:r>
            <w:r w:rsidRPr="00884BD1">
              <w:t>600.000</w:t>
            </w:r>
          </w:p>
        </w:tc>
      </w:tr>
    </w:tbl>
    <w:p w:rsidR="002D5294" w:rsidRPr="005E489B" w:rsidRDefault="002D5294" w:rsidP="002D5294">
      <w:pPr>
        <w:pStyle w:val="pt"/>
      </w:pPr>
    </w:p>
    <w:p w:rsidR="002D5294" w:rsidRDefault="002D5294" w:rsidP="002D5294">
      <w:pPr>
        <w:pStyle w:val="pt"/>
      </w:pPr>
      <w:r w:rsidRPr="005E489B">
        <w:t>Of:</w:t>
      </w:r>
    </w:p>
    <w:p w:rsidR="002D5294" w:rsidRPr="005E489B" w:rsidRDefault="002D5294" w:rsidP="002D5294">
      <w:pPr>
        <w:pStyle w:val="pt"/>
      </w:pPr>
    </w:p>
    <w:tbl>
      <w:tblPr>
        <w:tblW w:w="0" w:type="auto"/>
        <w:tblInd w:w="80" w:type="dxa"/>
        <w:tblLayout w:type="fixed"/>
        <w:tblCellMar>
          <w:left w:w="0" w:type="dxa"/>
          <w:right w:w="0" w:type="dxa"/>
        </w:tblCellMar>
        <w:tblLook w:val="0000"/>
      </w:tblPr>
      <w:tblGrid>
        <w:gridCol w:w="4680"/>
        <w:gridCol w:w="1039"/>
        <w:gridCol w:w="1040"/>
        <w:gridCol w:w="1039"/>
        <w:gridCol w:w="1040"/>
        <w:gridCol w:w="1040"/>
      </w:tblGrid>
      <w:tr w:rsidR="002D5294" w:rsidRPr="00884BD1" w:rsidTr="001D2BB9">
        <w:trPr>
          <w:trHeight w:val="60"/>
        </w:trPr>
        <w:tc>
          <w:tcPr>
            <w:tcW w:w="46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k1"/>
              <w:rPr>
                <w:color w:val="auto"/>
              </w:rPr>
            </w:pPr>
            <w:proofErr w:type="spellStart"/>
            <w:r w:rsidRPr="00C575A2">
              <w:rPr>
                <w:color w:val="auto"/>
              </w:rPr>
              <w:t>Grootboekrekening</w:t>
            </w:r>
            <w:proofErr w:type="spellEnd"/>
          </w:p>
        </w:tc>
        <w:tc>
          <w:tcPr>
            <w:tcW w:w="1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k1"/>
              <w:jc w:val="right"/>
              <w:rPr>
                <w:color w:val="auto"/>
              </w:rPr>
            </w:pPr>
            <w:proofErr w:type="spellStart"/>
            <w:r w:rsidRPr="00C575A2">
              <w:rPr>
                <w:color w:val="auto"/>
              </w:rPr>
              <w:t>Debet</w:t>
            </w:r>
            <w:proofErr w:type="spellEnd"/>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k1"/>
              <w:jc w:val="right"/>
              <w:rPr>
                <w:color w:val="auto"/>
              </w:rPr>
            </w:pPr>
            <w:r w:rsidRPr="00C575A2">
              <w:rPr>
                <w:color w:val="auto"/>
              </w:rPr>
              <w:t>Credit</w:t>
            </w:r>
          </w:p>
        </w:tc>
        <w:tc>
          <w:tcPr>
            <w:tcW w:w="1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k1"/>
              <w:jc w:val="right"/>
              <w:rPr>
                <w:color w:val="auto"/>
              </w:rPr>
            </w:pPr>
            <w:proofErr w:type="spellStart"/>
            <w:r w:rsidRPr="00C575A2">
              <w:rPr>
                <w:color w:val="auto"/>
              </w:rPr>
              <w:t>Saldo</w:t>
            </w:r>
            <w:proofErr w:type="spellEnd"/>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k1"/>
              <w:rPr>
                <w:color w:val="auto"/>
              </w:rPr>
            </w:pPr>
            <w:proofErr w:type="spellStart"/>
            <w:r w:rsidRPr="00C575A2">
              <w:rPr>
                <w:color w:val="auto"/>
              </w:rPr>
              <w:t>Debet</w:t>
            </w:r>
            <w:proofErr w:type="spellEnd"/>
            <w:r w:rsidRPr="00C575A2">
              <w:rPr>
                <w:color w:val="auto"/>
              </w:rPr>
              <w:t>/credit</w:t>
            </w:r>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575A2" w:rsidRDefault="002D5294" w:rsidP="001D2BB9">
            <w:pPr>
              <w:pStyle w:val="tabelk1"/>
              <w:rPr>
                <w:color w:val="auto"/>
              </w:rPr>
            </w:pPr>
            <w:proofErr w:type="spellStart"/>
            <w:r w:rsidRPr="00C575A2">
              <w:rPr>
                <w:color w:val="auto"/>
              </w:rPr>
              <w:t>Soort</w:t>
            </w:r>
            <w:proofErr w:type="spellEnd"/>
          </w:p>
        </w:tc>
      </w:tr>
      <w:tr w:rsidR="002D5294" w:rsidRPr="00884BD1" w:rsidTr="001D2BB9">
        <w:trPr>
          <w:trHeight w:val="60"/>
        </w:trPr>
        <w:tc>
          <w:tcPr>
            <w:tcW w:w="46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600.000</w:t>
            </w:r>
          </w:p>
          <w:p w:rsidR="002D5294" w:rsidRPr="00884BD1" w:rsidRDefault="002D5294" w:rsidP="001D2BB9">
            <w:pPr>
              <w:pStyle w:val="tabelpt"/>
              <w:jc w:val="right"/>
              <w:rPr>
                <w:color w:val="auto"/>
              </w:rPr>
            </w:pPr>
            <w:r w:rsidRPr="00884BD1">
              <w:rPr>
                <w:color w:val="auto"/>
              </w:rPr>
              <w:t>1/1</w:t>
            </w:r>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textAlignment w:val="auto"/>
              <w:rPr>
                <w:rFonts w:ascii="Verdana" w:hAnsi="Verdana" w:cs="Times New Roman"/>
                <w:color w:val="auto"/>
                <w:lang w:val="it-IT"/>
              </w:rPr>
            </w:pPr>
          </w:p>
        </w:tc>
        <w:tc>
          <w:tcPr>
            <w:tcW w:w="1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600.000</w:t>
            </w:r>
          </w:p>
          <w:p w:rsidR="002D5294" w:rsidRPr="00884BD1" w:rsidRDefault="002D5294" w:rsidP="001D2BB9">
            <w:pPr>
              <w:pStyle w:val="tabelpt"/>
              <w:jc w:val="right"/>
              <w:rPr>
                <w:color w:val="auto"/>
              </w:rPr>
            </w:pPr>
            <w:r w:rsidRPr="00884BD1">
              <w:rPr>
                <w:color w:val="auto"/>
              </w:rPr>
              <w:t>31/12</w:t>
            </w:r>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Debet</w:t>
            </w:r>
            <w:proofErr w:type="spellEnd"/>
          </w:p>
        </w:tc>
        <w:tc>
          <w:tcPr>
            <w:tcW w:w="10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Balans</w:t>
            </w:r>
          </w:p>
        </w:tc>
      </w:tr>
    </w:tbl>
    <w:p w:rsidR="002D5294" w:rsidRPr="00C575A2" w:rsidRDefault="002D5294" w:rsidP="002D5294">
      <w:pPr>
        <w:pStyle w:val="k2kop2aopgaven"/>
        <w:rPr>
          <w:rStyle w:val="Bold"/>
        </w:rPr>
      </w:pPr>
      <w:proofErr w:type="spellStart"/>
      <w:r w:rsidRPr="00C575A2">
        <w:t>Opgave</w:t>
      </w:r>
      <w:proofErr w:type="spellEnd"/>
      <w:r w:rsidRPr="00C575A2">
        <w:t xml:space="preserve"> 6.3</w:t>
      </w:r>
    </w:p>
    <w:p w:rsidR="002D5294" w:rsidRPr="00CC02FB" w:rsidRDefault="002D5294" w:rsidP="002D5294">
      <w:pPr>
        <w:pStyle w:val="k2kop2bopgaven"/>
        <w:rPr>
          <w:lang w:val="nl-NL"/>
        </w:rPr>
      </w:pPr>
      <w:r w:rsidRPr="00CC02FB">
        <w:rPr>
          <w:lang w:val="nl-NL"/>
        </w:rPr>
        <w:t>(waardering van een deelneming bij een kleine rechtspersoon)</w:t>
      </w:r>
    </w:p>
    <w:p w:rsidR="002D5294" w:rsidRPr="00CC02FB" w:rsidRDefault="002D5294" w:rsidP="002D5294">
      <w:pPr>
        <w:pStyle w:val="k2kop2bopgaven"/>
        <w:rPr>
          <w:lang w:val="nl-NL"/>
        </w:rPr>
      </w:pPr>
    </w:p>
    <w:p w:rsidR="002D5294" w:rsidRPr="00CC02FB" w:rsidRDefault="002D5294" w:rsidP="002D5294">
      <w:pPr>
        <w:pStyle w:val="ptopslijst1"/>
        <w:rPr>
          <w:lang w:val="nl-NL"/>
        </w:rPr>
      </w:pPr>
      <w:r w:rsidRPr="00CC02FB">
        <w:rPr>
          <w:lang w:val="nl-NL"/>
        </w:rPr>
        <w:t>1.</w:t>
      </w:r>
      <w:r w:rsidRPr="00CC02FB">
        <w:rPr>
          <w:lang w:val="nl-NL"/>
        </w:rPr>
        <w:tab/>
        <w:t>De journaalpost van de verwerving van de deelneming:</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 xml:space="preserve">Goodwill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051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Aandelen</w:t>
            </w:r>
            <w:proofErr w:type="spellEnd"/>
            <w:r w:rsidRPr="00884BD1">
              <w:rPr>
                <w:color w:val="auto"/>
              </w:rPr>
              <w:t xml:space="preserve"> in </w:t>
            </w:r>
            <w:proofErr w:type="spellStart"/>
            <w:r w:rsidRPr="00884BD1">
              <w:rPr>
                <w:color w:val="auto"/>
              </w:rPr>
              <w:t>portefeuille</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400.000</w:t>
            </w: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053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Agio</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2.</w:t>
      </w:r>
      <w:r w:rsidRPr="00DD1761">
        <w:rPr>
          <w:lang w:val="nl-NL"/>
        </w:rPr>
        <w:tab/>
        <w:t>De journaalpost van de opbrengst uit de deelneming:</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950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Opbrengst</w:t>
            </w:r>
            <w:proofErr w:type="spellEnd"/>
            <w:r w:rsidRPr="00884BD1">
              <w:rPr>
                <w:color w:val="auto"/>
              </w:rPr>
              <w:t xml:space="preserve"> </w:t>
            </w:r>
            <w:proofErr w:type="spellStart"/>
            <w:r w:rsidRPr="00884BD1">
              <w:rPr>
                <w:color w:val="auto"/>
              </w:rPr>
              <w:t>deelneming</w:t>
            </w:r>
            <w:proofErr w:type="spellEnd"/>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100.000</w:t>
            </w:r>
          </w:p>
        </w:tc>
      </w:tr>
    </w:tbl>
    <w:p w:rsidR="002D5294" w:rsidRPr="005E489B" w:rsidRDefault="002D5294" w:rsidP="002D5294">
      <w:pPr>
        <w:pStyle w:val="pt"/>
      </w:pPr>
    </w:p>
    <w:p w:rsidR="002D5294" w:rsidRPr="005E489B" w:rsidRDefault="002D5294" w:rsidP="002D5294">
      <w:pPr>
        <w:pStyle w:val="ptopslijst1"/>
      </w:pPr>
      <w:r w:rsidRPr="005E489B">
        <w:t>3.</w:t>
      </w:r>
      <w:r w:rsidRPr="005E489B">
        <w:tab/>
      </w:r>
    </w:p>
    <w:p w:rsidR="002D5294" w:rsidRPr="00DD1761" w:rsidRDefault="002D5294" w:rsidP="002D5294">
      <w:pPr>
        <w:pStyle w:val="tabelpt23mm"/>
        <w:ind w:left="0"/>
        <w:rPr>
          <w:color w:val="auto"/>
          <w:lang w:val="nl-NL"/>
        </w:rPr>
      </w:pPr>
      <w:r w:rsidRPr="00DD1761">
        <w:rPr>
          <w:color w:val="auto"/>
          <w:lang w:val="nl-NL"/>
        </w:rPr>
        <w:t>Grootboekrekening ‘Goodwill Ameland bv’ over 2015</w:t>
      </w:r>
    </w:p>
    <w:tbl>
      <w:tblPr>
        <w:tblW w:w="0" w:type="auto"/>
        <w:tblInd w:w="80" w:type="dxa"/>
        <w:tblLayout w:type="fixed"/>
        <w:tblCellMar>
          <w:left w:w="0" w:type="dxa"/>
          <w:right w:w="0" w:type="dxa"/>
        </w:tblCellMar>
        <w:tblLook w:val="0000"/>
      </w:tblPr>
      <w:tblGrid>
        <w:gridCol w:w="4939"/>
        <w:gridCol w:w="4939"/>
      </w:tblGrid>
      <w:tr w:rsidR="002D5294" w:rsidRPr="00884BD1" w:rsidTr="001D2BB9">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k1"/>
              <w:rPr>
                <w:color w:val="auto"/>
              </w:rPr>
            </w:pPr>
            <w:proofErr w:type="spellStart"/>
            <w:r w:rsidRPr="00C575A2">
              <w:rPr>
                <w:color w:val="auto"/>
              </w:rPr>
              <w:t>Debet</w:t>
            </w:r>
            <w:proofErr w:type="spellEnd"/>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2D5294" w:rsidRPr="00C575A2" w:rsidRDefault="002D5294" w:rsidP="001D2BB9">
            <w:pPr>
              <w:pStyle w:val="tabelk1"/>
              <w:jc w:val="right"/>
              <w:rPr>
                <w:color w:val="auto"/>
              </w:rPr>
            </w:pPr>
            <w:r w:rsidRPr="00C575A2">
              <w:rPr>
                <w:color w:val="auto"/>
              </w:rPr>
              <w:t>Credit</w:t>
            </w:r>
          </w:p>
        </w:tc>
      </w:tr>
      <w:tr w:rsidR="002D5294" w:rsidRPr="00884BD1" w:rsidTr="001D2BB9">
        <w:trPr>
          <w:trHeight w:val="288"/>
        </w:trPr>
        <w:tc>
          <w:tcPr>
            <w:tcW w:w="4939" w:type="dxa"/>
            <w:tcBorders>
              <w:top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Beginbalans</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150.000</w:t>
            </w:r>
          </w:p>
        </w:tc>
        <w:tc>
          <w:tcPr>
            <w:tcW w:w="4939" w:type="dxa"/>
            <w:tcBorders>
              <w:top w:val="single" w:sz="4" w:space="0" w:color="auto"/>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Afschrijvingskosten</w:t>
            </w:r>
            <w:proofErr w:type="spellEnd"/>
            <w:r w:rsidRPr="00884BD1">
              <w:rPr>
                <w:rFonts w:ascii="UtopiaStd-Capt" w:hAnsi="UtopiaStd-Capt" w:cs="UtopiaStd-Capt"/>
                <w:smallCaps/>
                <w:color w:val="auto"/>
                <w:spacing w:val="25"/>
                <w:sz w:val="18"/>
                <w:szCs w:val="18"/>
              </w:rPr>
              <w:tab/>
            </w:r>
            <w:r w:rsidRPr="00884BD1">
              <w:rPr>
                <w:color w:val="auto"/>
              </w:rPr>
              <w:t>€</w:t>
            </w:r>
            <w:r w:rsidRPr="00884BD1">
              <w:rPr>
                <w:rStyle w:val="Onderstreept"/>
                <w:rFonts w:ascii="Cambria Math" w:hAnsi="Cambria Math" w:cs="Cambria Math"/>
                <w:color w:val="auto"/>
              </w:rPr>
              <w:t>  </w:t>
            </w:r>
            <w:r w:rsidRPr="00884BD1">
              <w:rPr>
                <w:color w:val="auto"/>
              </w:rPr>
              <w:t>30.000</w:t>
            </w:r>
          </w:p>
          <w:p w:rsidR="002D5294" w:rsidRPr="00884BD1" w:rsidRDefault="002D5294" w:rsidP="001D2BB9">
            <w:pPr>
              <w:pStyle w:val="tabelpt"/>
              <w:tabs>
                <w:tab w:val="left" w:pos="3970"/>
              </w:tabs>
              <w:rPr>
                <w:color w:val="auto"/>
              </w:rPr>
            </w:pPr>
            <w:proofErr w:type="spellStart"/>
            <w:r w:rsidRPr="00884BD1">
              <w:rPr>
                <w:color w:val="auto"/>
              </w:rPr>
              <w:t>Naar</w:t>
            </w:r>
            <w:proofErr w:type="spellEnd"/>
            <w:r w:rsidRPr="00884BD1">
              <w:rPr>
                <w:color w:val="auto"/>
              </w:rPr>
              <w:t xml:space="preserve"> </w:t>
            </w:r>
            <w:proofErr w:type="spellStart"/>
            <w:r w:rsidRPr="00884BD1">
              <w:rPr>
                <w:color w:val="auto"/>
              </w:rPr>
              <w:t>eindbalans</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120.000</w:t>
            </w:r>
          </w:p>
        </w:tc>
      </w:tr>
      <w:tr w:rsidR="002D5294" w:rsidRPr="00884BD1" w:rsidTr="001D2BB9">
        <w:trPr>
          <w:trHeight w:val="60"/>
        </w:trPr>
        <w:tc>
          <w:tcPr>
            <w:tcW w:w="4939" w:type="dxa"/>
            <w:tcBorders>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Style w:val="Onderstreept"/>
                <w:rFonts w:ascii="Cambria Math" w:hAnsi="Cambria Math" w:cs="Cambria Math"/>
                <w:color w:val="auto"/>
              </w:rPr>
              <w:t> </w:t>
            </w:r>
            <w:r w:rsidRPr="00884BD1">
              <w:t>150.000</w:t>
            </w:r>
          </w:p>
        </w:tc>
        <w:tc>
          <w:tcPr>
            <w:tcW w:w="4939" w:type="dxa"/>
            <w:tcBorders>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Style w:val="Onderstreept"/>
                <w:rFonts w:ascii="Cambria Math" w:hAnsi="Cambria Math" w:cs="Cambria Math"/>
                <w:color w:val="auto"/>
              </w:rPr>
              <w:t> </w:t>
            </w:r>
            <w:r w:rsidRPr="00884BD1">
              <w:t>150.000</w:t>
            </w:r>
          </w:p>
        </w:tc>
      </w:tr>
    </w:tbl>
    <w:p w:rsidR="002D5294" w:rsidRPr="005E489B" w:rsidRDefault="002D5294" w:rsidP="002D5294">
      <w:pPr>
        <w:pStyle w:val="pt"/>
      </w:pPr>
    </w:p>
    <w:p w:rsidR="002D5294" w:rsidRPr="005E489B" w:rsidRDefault="002D5294" w:rsidP="002D5294">
      <w:pPr>
        <w:pStyle w:val="ptopslijst1"/>
      </w:pPr>
      <w:r w:rsidRPr="005E489B">
        <w:t>4.</w:t>
      </w:r>
      <w:r w:rsidRPr="005E489B">
        <w:tab/>
      </w:r>
    </w:p>
    <w:p w:rsidR="002D5294" w:rsidRPr="00DD1761" w:rsidRDefault="002D5294" w:rsidP="002D5294">
      <w:pPr>
        <w:pStyle w:val="tabelpt23mm"/>
        <w:ind w:left="0"/>
        <w:rPr>
          <w:color w:val="auto"/>
          <w:lang w:val="nl-NL"/>
        </w:rPr>
      </w:pPr>
      <w:r w:rsidRPr="00DD1761">
        <w:rPr>
          <w:color w:val="auto"/>
          <w:lang w:val="nl-NL"/>
        </w:rPr>
        <w:t>Grootboekrekening ‘Deelneming Ameland bv’ over 2015</w:t>
      </w:r>
    </w:p>
    <w:tbl>
      <w:tblPr>
        <w:tblW w:w="0" w:type="auto"/>
        <w:tblInd w:w="80" w:type="dxa"/>
        <w:tblLayout w:type="fixed"/>
        <w:tblCellMar>
          <w:left w:w="0" w:type="dxa"/>
          <w:right w:w="0" w:type="dxa"/>
        </w:tblCellMar>
        <w:tblLook w:val="0000"/>
      </w:tblPr>
      <w:tblGrid>
        <w:gridCol w:w="4939"/>
        <w:gridCol w:w="4939"/>
      </w:tblGrid>
      <w:tr w:rsidR="002D5294" w:rsidRPr="00884BD1" w:rsidTr="001D2BB9">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k1"/>
              <w:rPr>
                <w:color w:val="auto"/>
              </w:rPr>
            </w:pPr>
            <w:proofErr w:type="spellStart"/>
            <w:r w:rsidRPr="00C575A2">
              <w:rPr>
                <w:color w:val="auto"/>
              </w:rPr>
              <w:t>Debet</w:t>
            </w:r>
            <w:proofErr w:type="spellEnd"/>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2D5294" w:rsidRPr="00C575A2" w:rsidRDefault="002D5294" w:rsidP="001D2BB9">
            <w:pPr>
              <w:pStyle w:val="tabelk1"/>
              <w:jc w:val="right"/>
              <w:rPr>
                <w:color w:val="auto"/>
              </w:rPr>
            </w:pPr>
            <w:r w:rsidRPr="00C575A2">
              <w:rPr>
                <w:color w:val="auto"/>
              </w:rPr>
              <w:t>Credit</w:t>
            </w:r>
          </w:p>
        </w:tc>
      </w:tr>
      <w:tr w:rsidR="002D5294" w:rsidRPr="00884BD1" w:rsidTr="001D2BB9">
        <w:trPr>
          <w:trHeight w:val="108"/>
        </w:trPr>
        <w:tc>
          <w:tcPr>
            <w:tcW w:w="4939" w:type="dxa"/>
            <w:tcBorders>
              <w:top w:val="single" w:sz="4" w:space="0" w:color="auto"/>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lastRenderedPageBreak/>
              <w:t>Beginbalans</w:t>
            </w:r>
            <w:proofErr w:type="spellEnd"/>
            <w:r w:rsidRPr="00884BD1">
              <w:rPr>
                <w:rFonts w:ascii="UtopiaStd-Capt" w:hAnsi="UtopiaStd-Capt" w:cs="UtopiaStd-Capt"/>
                <w:smallCaps/>
                <w:color w:val="auto"/>
                <w:spacing w:val="25"/>
                <w:sz w:val="18"/>
                <w:szCs w:val="18"/>
              </w:rPr>
              <w:tab/>
            </w:r>
            <w:r w:rsidRPr="00884BD1">
              <w:rPr>
                <w:color w:val="auto"/>
              </w:rPr>
              <w:t>€</w:t>
            </w:r>
            <w:r w:rsidRPr="00884BD1">
              <w:rPr>
                <w:rStyle w:val="Onderstreept"/>
                <w:rFonts w:ascii="Cambria Math" w:hAnsi="Cambria Math" w:cs="Cambria Math"/>
                <w:color w:val="auto"/>
              </w:rPr>
              <w:t> </w:t>
            </w:r>
            <w:r w:rsidRPr="00884BD1">
              <w:rPr>
                <w:color w:val="auto"/>
              </w:rPr>
              <w:t>450.000</w:t>
            </w:r>
          </w:p>
          <w:p w:rsidR="002D5294" w:rsidRPr="00884BD1" w:rsidRDefault="002D5294" w:rsidP="001D2BB9">
            <w:pPr>
              <w:pStyle w:val="tabelpt"/>
              <w:tabs>
                <w:tab w:val="left" w:pos="3970"/>
              </w:tabs>
              <w:rPr>
                <w:color w:val="auto"/>
              </w:rPr>
            </w:pPr>
            <w:proofErr w:type="spellStart"/>
            <w:r w:rsidRPr="00884BD1">
              <w:rPr>
                <w:color w:val="auto"/>
              </w:rPr>
              <w:t>Resultaat</w:t>
            </w:r>
            <w:proofErr w:type="spellEnd"/>
            <w:r w:rsidRPr="00884BD1">
              <w:rPr>
                <w:color w:val="auto"/>
              </w:rPr>
              <w:t xml:space="preserve"> </w:t>
            </w:r>
            <w:proofErr w:type="spellStart"/>
            <w:r w:rsidRPr="00884BD1">
              <w:rPr>
                <w:color w:val="auto"/>
              </w:rPr>
              <w:t>deelnemingen</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100.000</w:t>
            </w:r>
          </w:p>
        </w:tc>
        <w:tc>
          <w:tcPr>
            <w:tcW w:w="4939" w:type="dxa"/>
            <w:tcBorders>
              <w:top w:val="single" w:sz="4" w:space="0" w:color="auto"/>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Naar</w:t>
            </w:r>
            <w:proofErr w:type="spellEnd"/>
            <w:r w:rsidRPr="00884BD1">
              <w:rPr>
                <w:color w:val="auto"/>
              </w:rPr>
              <w:t xml:space="preserve"> </w:t>
            </w:r>
            <w:proofErr w:type="spellStart"/>
            <w:r w:rsidRPr="00884BD1">
              <w:rPr>
                <w:color w:val="auto"/>
              </w:rPr>
              <w:t>eindbalans</w:t>
            </w:r>
            <w:proofErr w:type="spellEnd"/>
            <w:r w:rsidRPr="00884BD1">
              <w:rPr>
                <w:rFonts w:ascii="UtopiaStd-Capt" w:hAnsi="UtopiaStd-Capt" w:cs="UtopiaStd-Capt"/>
                <w:smallCaps/>
                <w:color w:val="auto"/>
                <w:spacing w:val="25"/>
                <w:sz w:val="18"/>
                <w:szCs w:val="18"/>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550.000</w:t>
            </w:r>
          </w:p>
        </w:tc>
      </w:tr>
      <w:tr w:rsidR="002D5294" w:rsidRPr="00884BD1" w:rsidTr="001D2BB9">
        <w:trPr>
          <w:trHeight w:val="60"/>
        </w:trPr>
        <w:tc>
          <w:tcPr>
            <w:tcW w:w="4939" w:type="dxa"/>
            <w:tcBorders>
              <w:righ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Style w:val="Onderstreept"/>
                <w:rFonts w:ascii="Cambria Math" w:hAnsi="Cambria Math" w:cs="Cambria Math"/>
                <w:color w:val="auto"/>
              </w:rPr>
              <w:t> </w:t>
            </w:r>
            <w:r w:rsidRPr="00884BD1">
              <w:t>550.000</w:t>
            </w:r>
          </w:p>
        </w:tc>
        <w:tc>
          <w:tcPr>
            <w:tcW w:w="4939" w:type="dxa"/>
            <w:tcBorders>
              <w:left w:val="single" w:sz="4" w:space="0" w:color="auto"/>
            </w:tcBorders>
            <w:tcMar>
              <w:top w:w="80" w:type="dxa"/>
              <w:left w:w="80" w:type="dxa"/>
              <w:bottom w:w="80" w:type="dxa"/>
              <w:right w:w="80" w:type="dxa"/>
            </w:tcMar>
          </w:tcPr>
          <w:p w:rsidR="002D5294" w:rsidRPr="00884BD1" w:rsidRDefault="002D5294" w:rsidP="001D2BB9">
            <w:pPr>
              <w:pStyle w:val="tabelpt"/>
              <w:tabs>
                <w:tab w:val="left" w:pos="3970"/>
              </w:tabs>
              <w:rPr>
                <w:color w:val="auto"/>
              </w:rPr>
            </w:pPr>
            <w:proofErr w:type="spellStart"/>
            <w:r w:rsidRPr="00884BD1">
              <w:rPr>
                <w:color w:val="auto"/>
              </w:rPr>
              <w:t>Totaal</w:t>
            </w:r>
            <w:proofErr w:type="spellEnd"/>
            <w:r w:rsidRPr="00884BD1">
              <w:rPr>
                <w:rFonts w:ascii="UtopiaStd-Capt" w:hAnsi="UtopiaStd-Capt" w:cs="UtopiaStd-Capt"/>
                <w:smallCaps/>
                <w:color w:val="auto"/>
                <w:spacing w:val="25"/>
                <w:sz w:val="18"/>
                <w:szCs w:val="18"/>
              </w:rPr>
              <w:tab/>
            </w:r>
            <w:r w:rsidRPr="00884BD1">
              <w:t>€</w:t>
            </w:r>
            <w:r w:rsidRPr="00884BD1">
              <w:rPr>
                <w:rStyle w:val="Onderstreept"/>
                <w:rFonts w:ascii="Cambria Math" w:hAnsi="Cambria Math" w:cs="Cambria Math"/>
                <w:color w:val="auto"/>
              </w:rPr>
              <w:t> </w:t>
            </w:r>
            <w:r w:rsidRPr="00884BD1">
              <w:t>550.000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5.</w:t>
      </w:r>
      <w:r w:rsidRPr="00DD1761">
        <w:rPr>
          <w:lang w:val="nl-NL"/>
        </w:rPr>
        <w:tab/>
        <w:t>De fiscale winst is inclusief de opbrengst uit deelneming ad € 100.000 en de afschrijving op goodwill ad € 30.000. Bij het berekenen van de belastbare winst worden deze bedragen gecorrigeerd onder de rubriek ‘Deelnemingsvrijstelling’. Hierbij wordt € 70.000 opgenomen als aftrekpost op de fiscale winst.</w:t>
      </w:r>
    </w:p>
    <w:p w:rsidR="002D5294" w:rsidRPr="00DD1761" w:rsidRDefault="002D5294" w:rsidP="002D5294">
      <w:pPr>
        <w:pStyle w:val="k2kop2aopgaven"/>
        <w:rPr>
          <w:rStyle w:val="Bold"/>
          <w:lang w:val="nl-NL"/>
        </w:rPr>
      </w:pPr>
      <w:r w:rsidRPr="00DD1761">
        <w:rPr>
          <w:lang w:val="nl-NL"/>
        </w:rPr>
        <w:t>Opgave 6.4</w:t>
      </w:r>
    </w:p>
    <w:p w:rsidR="002D5294" w:rsidRPr="00DD1761" w:rsidRDefault="002D5294" w:rsidP="002D5294">
      <w:pPr>
        <w:pStyle w:val="k2kop2bopgaven"/>
        <w:rPr>
          <w:lang w:val="nl-NL"/>
        </w:rPr>
      </w:pPr>
      <w:r w:rsidRPr="00DD1761">
        <w:rPr>
          <w:lang w:val="nl-NL"/>
        </w:rPr>
        <w:t>(waardering van een deelneming bij een kleine rechtspersoon)</w:t>
      </w:r>
    </w:p>
    <w:p w:rsidR="002D5294" w:rsidRPr="00DD1761" w:rsidRDefault="002D5294" w:rsidP="002D5294">
      <w:pPr>
        <w:pStyle w:val="k2kop2bopgaven"/>
        <w:rPr>
          <w:lang w:val="nl-NL"/>
        </w:rPr>
      </w:pPr>
    </w:p>
    <w:p w:rsidR="002D5294" w:rsidRPr="00DD1761" w:rsidRDefault="002D5294" w:rsidP="002D5294">
      <w:pPr>
        <w:pStyle w:val="ptopslijst1"/>
        <w:rPr>
          <w:lang w:val="nl-NL"/>
        </w:rPr>
      </w:pPr>
      <w:r w:rsidRPr="00DD1761">
        <w:rPr>
          <w:lang w:val="nl-NL"/>
        </w:rPr>
        <w:t>1.</w:t>
      </w:r>
      <w:r w:rsidRPr="00DD1761">
        <w:rPr>
          <w:lang w:val="nl-NL"/>
        </w:rPr>
        <w:tab/>
        <w:t>De journaalpost van de opbrengst uit de deelneming:</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136</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Nog</w:t>
            </w:r>
            <w:proofErr w:type="spellEnd"/>
            <w:r w:rsidRPr="00884BD1">
              <w:rPr>
                <w:color w:val="auto"/>
              </w:rPr>
              <w:t xml:space="preserve"> </w:t>
            </w:r>
            <w:proofErr w:type="spellStart"/>
            <w:r w:rsidRPr="00884BD1">
              <w:rPr>
                <w:color w:val="auto"/>
              </w:rPr>
              <w:t>te</w:t>
            </w:r>
            <w:proofErr w:type="spellEnd"/>
            <w:r w:rsidRPr="00884BD1">
              <w:rPr>
                <w:color w:val="auto"/>
              </w:rPr>
              <w:t xml:space="preserve"> </w:t>
            </w:r>
            <w:proofErr w:type="spellStart"/>
            <w:r w:rsidRPr="00884BD1">
              <w:rPr>
                <w:color w:val="auto"/>
              </w:rPr>
              <w:t>ontvangen</w:t>
            </w:r>
            <w:proofErr w:type="spellEnd"/>
            <w:r w:rsidRPr="00884BD1">
              <w:rPr>
                <w:color w:val="auto"/>
              </w:rPr>
              <w:t xml:space="preserve"> dividend</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75.000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950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Opbrengst</w:t>
            </w:r>
            <w:proofErr w:type="spellEnd"/>
            <w:r w:rsidRPr="00884BD1">
              <w:rPr>
                <w:color w:val="auto"/>
              </w:rPr>
              <w:t xml:space="preserve"> </w:t>
            </w:r>
            <w:proofErr w:type="spellStart"/>
            <w:r w:rsidRPr="00884BD1">
              <w:rPr>
                <w:color w:val="auto"/>
              </w:rPr>
              <w:t>deelneming</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75.000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2.</w:t>
      </w:r>
      <w:r w:rsidRPr="00DD1761">
        <w:rPr>
          <w:lang w:val="nl-NL"/>
        </w:rPr>
        <w:tab/>
        <w:t>De fiscale winst is inclusief de opbrengst uit de deelneming ad € 75.000. Daarom wordt dit bedrag in de staart van de vermogensvergelijking opgenomen onder de rubriek ‘Deelnemingsvrijstelling’, zodat de belastbare winst € 75.000 lager wordt.</w:t>
      </w:r>
    </w:p>
    <w:p w:rsidR="002D5294" w:rsidRPr="00DD1761" w:rsidRDefault="002D5294" w:rsidP="002D5294">
      <w:pPr>
        <w:pStyle w:val="k2kop2aopgaven"/>
        <w:rPr>
          <w:rStyle w:val="Bold"/>
          <w:lang w:val="nl-NL"/>
        </w:rPr>
      </w:pPr>
      <w:r w:rsidRPr="00DD1761">
        <w:rPr>
          <w:lang w:val="nl-NL"/>
        </w:rPr>
        <w:t>Opgave 6.5</w:t>
      </w:r>
    </w:p>
    <w:p w:rsidR="002D5294" w:rsidRPr="00DD1761" w:rsidRDefault="002D5294" w:rsidP="002D5294">
      <w:pPr>
        <w:pStyle w:val="k2kop2bopgaven"/>
        <w:rPr>
          <w:lang w:val="nl-NL"/>
        </w:rPr>
      </w:pPr>
      <w:r w:rsidRPr="00DD1761">
        <w:rPr>
          <w:lang w:val="nl-NL"/>
        </w:rPr>
        <w:t>(waardering van een deelneming bij een kleine rechtspersoon)</w:t>
      </w:r>
    </w:p>
    <w:p w:rsidR="002D5294" w:rsidRPr="00DD1761" w:rsidRDefault="002D5294" w:rsidP="002D5294">
      <w:pPr>
        <w:pStyle w:val="k2kop2bopgaven"/>
        <w:rPr>
          <w:lang w:val="nl-NL"/>
        </w:rPr>
      </w:pPr>
    </w:p>
    <w:p w:rsidR="002D5294" w:rsidRPr="00CC02FB" w:rsidRDefault="002D5294" w:rsidP="002D5294">
      <w:pPr>
        <w:pStyle w:val="ptopslijst1"/>
        <w:rPr>
          <w:lang w:val="nl-NL"/>
        </w:rPr>
      </w:pPr>
      <w:r w:rsidRPr="00CC02FB">
        <w:rPr>
          <w:lang w:val="nl-NL"/>
        </w:rPr>
        <w:t>1.</w:t>
      </w:r>
      <w:r w:rsidRPr="00CC02FB">
        <w:rPr>
          <w:lang w:val="nl-NL"/>
        </w:rPr>
        <w:tab/>
        <w:t>De journaalpost van de opbrengst uit de deelneming:</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950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Opbrengst</w:t>
            </w:r>
            <w:proofErr w:type="spellEnd"/>
            <w:r w:rsidRPr="00884BD1">
              <w:rPr>
                <w:color w:val="auto"/>
              </w:rPr>
              <w:t xml:space="preserve"> </w:t>
            </w:r>
            <w:proofErr w:type="spellStart"/>
            <w:r w:rsidRPr="00884BD1">
              <w:rPr>
                <w:color w:val="auto"/>
              </w:rPr>
              <w:t>deelneming</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2.</w:t>
      </w:r>
      <w:r w:rsidRPr="00DD1761">
        <w:rPr>
          <w:lang w:val="nl-NL"/>
        </w:rPr>
        <w:tab/>
        <w:t>De journaalpost van het nog te ontvangen dividend:</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136</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Nog</w:t>
            </w:r>
            <w:proofErr w:type="spellEnd"/>
            <w:r w:rsidRPr="00884BD1">
              <w:rPr>
                <w:color w:val="auto"/>
              </w:rPr>
              <w:t xml:space="preserve"> </w:t>
            </w:r>
            <w:proofErr w:type="spellStart"/>
            <w:r w:rsidRPr="00884BD1">
              <w:rPr>
                <w:color w:val="auto"/>
              </w:rPr>
              <w:t>te</w:t>
            </w:r>
            <w:proofErr w:type="spellEnd"/>
            <w:r w:rsidRPr="00884BD1">
              <w:rPr>
                <w:color w:val="auto"/>
              </w:rPr>
              <w:t xml:space="preserve"> </w:t>
            </w:r>
            <w:proofErr w:type="spellStart"/>
            <w:r w:rsidRPr="00884BD1">
              <w:rPr>
                <w:color w:val="auto"/>
              </w:rPr>
              <w:t>ontvangen</w:t>
            </w:r>
            <w:proofErr w:type="spellEnd"/>
            <w:r w:rsidRPr="00884BD1">
              <w:rPr>
                <w:color w:val="auto"/>
              </w:rPr>
              <w:t xml:space="preserve"> dividend</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75.000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Deelneming</w:t>
            </w:r>
            <w:proofErr w:type="spellEnd"/>
            <w:r w:rsidRPr="00884BD1">
              <w:rPr>
                <w:color w:val="auto"/>
              </w:rPr>
              <w:t xml:space="preserve"> </w:t>
            </w:r>
            <w:proofErr w:type="spellStart"/>
            <w:r w:rsidRPr="00884BD1">
              <w:rPr>
                <w:color w:val="auto"/>
              </w:rPr>
              <w:t>Ameland</w:t>
            </w:r>
            <w:proofErr w:type="spellEnd"/>
            <w:r w:rsidRPr="00884BD1">
              <w:rPr>
                <w:color w:val="auto"/>
              </w:rPr>
              <w:t xml:space="preserve"> </w:t>
            </w:r>
            <w:proofErr w:type="spellStart"/>
            <w:r w:rsidRPr="00884BD1">
              <w:rPr>
                <w:color w:val="auto"/>
              </w:rPr>
              <w:t>bv</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75.000</w:t>
            </w:r>
          </w:p>
        </w:tc>
      </w:tr>
    </w:tbl>
    <w:p w:rsidR="002D5294" w:rsidRPr="005E489B" w:rsidRDefault="002D5294" w:rsidP="002D5294">
      <w:pPr>
        <w:pStyle w:val="pt"/>
      </w:pPr>
    </w:p>
    <w:p w:rsidR="002D5294" w:rsidRPr="00BF2B63" w:rsidRDefault="002D5294" w:rsidP="002D5294">
      <w:pPr>
        <w:pStyle w:val="ptopslijst1"/>
        <w:rPr>
          <w:lang w:val="da-DK"/>
        </w:rPr>
      </w:pPr>
      <w:r w:rsidRPr="00DD1761">
        <w:rPr>
          <w:lang w:val="nl-NL"/>
        </w:rPr>
        <w:t>3.</w:t>
      </w:r>
      <w:r w:rsidRPr="00DD1761">
        <w:rPr>
          <w:lang w:val="nl-NL"/>
        </w:rPr>
        <w:tab/>
        <w:t xml:space="preserve">De fiscale winst is inclusief de opbrengst uit de deelneming ad € 100.000. Daarom wordt dit bedrag in de staart van de vermogensvergelijking opgenomen onder de rubriek ‘Deelnemingsvrijstelling’, zodat de belastbare winst € 100.000 lager wordt. </w:t>
      </w:r>
      <w:r w:rsidRPr="00BF2B63">
        <w:rPr>
          <w:lang w:val="da-DK"/>
        </w:rPr>
        <w:t>Dat het dividend nog moet worden ontvangen, heeft hier geen invloed op.</w:t>
      </w:r>
    </w:p>
    <w:p w:rsidR="002D5294" w:rsidRPr="00C575A2" w:rsidRDefault="002D5294" w:rsidP="002D5294">
      <w:pPr>
        <w:pStyle w:val="k2kop2aopgaven"/>
        <w:rPr>
          <w:lang w:val="da-DK"/>
        </w:rPr>
      </w:pPr>
      <w:r w:rsidRPr="00C575A2">
        <w:rPr>
          <w:lang w:val="da-DK"/>
        </w:rPr>
        <w:t>Opgave 6.6</w:t>
      </w:r>
    </w:p>
    <w:p w:rsidR="002D5294" w:rsidRPr="00DD1761" w:rsidRDefault="002D5294" w:rsidP="002D5294">
      <w:pPr>
        <w:pStyle w:val="k2kop2bopgaven"/>
        <w:rPr>
          <w:lang w:val="nl-NL"/>
        </w:rPr>
      </w:pPr>
      <w:r w:rsidRPr="00DD1761">
        <w:rPr>
          <w:lang w:val="nl-NL"/>
        </w:rPr>
        <w:t>(herinvesteringsreserve bij een kleine rechtspersoon)</w:t>
      </w:r>
    </w:p>
    <w:p w:rsidR="002D5294" w:rsidRPr="00DD1761" w:rsidRDefault="002D5294" w:rsidP="002D5294">
      <w:pPr>
        <w:pStyle w:val="k2kop2bopgaven"/>
        <w:rPr>
          <w:lang w:val="nl-NL"/>
        </w:rPr>
      </w:pPr>
    </w:p>
    <w:p w:rsidR="002D5294" w:rsidRPr="00DD1761" w:rsidRDefault="002D5294" w:rsidP="002D5294">
      <w:pPr>
        <w:pStyle w:val="ptopslijst1"/>
        <w:rPr>
          <w:lang w:val="nl-NL"/>
        </w:rPr>
      </w:pPr>
      <w:r w:rsidRPr="00DD1761">
        <w:rPr>
          <w:lang w:val="nl-NL"/>
        </w:rPr>
        <w:t>1.</w:t>
      </w:r>
      <w:r w:rsidRPr="00DD1761">
        <w:rPr>
          <w:lang w:val="nl-NL"/>
        </w:rPr>
        <w:tab/>
        <w:t>De journaalpost van de verkoop van het bedrijfsmiddel:</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80.000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Bedrijfsmiddel</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60.000</w:t>
            </w: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Boekwinst</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2.</w:t>
      </w:r>
      <w:r w:rsidRPr="00DD1761">
        <w:rPr>
          <w:lang w:val="nl-NL"/>
        </w:rPr>
        <w:tab/>
        <w:t>De journaalpost van de vorming van de HIR:</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Boekwinst</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HIR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3.</w:t>
      </w:r>
      <w:r w:rsidRPr="00DD1761">
        <w:rPr>
          <w:lang w:val="nl-NL"/>
        </w:rPr>
        <w:tab/>
        <w:t>De HIR gaat voor een bedrag van € 20.000 naar de vennootschappelijke balans per 31 december 2015, als onderdeel van het eigen vermogen.</w:t>
      </w:r>
    </w:p>
    <w:p w:rsidR="002D5294" w:rsidRPr="00DD1761" w:rsidRDefault="002D5294" w:rsidP="002D5294">
      <w:pPr>
        <w:pStyle w:val="ptopslijst1"/>
        <w:rPr>
          <w:lang w:val="nl-NL"/>
        </w:rPr>
      </w:pPr>
    </w:p>
    <w:p w:rsidR="002D5294" w:rsidRPr="00DD1761" w:rsidRDefault="002D5294" w:rsidP="002D5294">
      <w:pPr>
        <w:pStyle w:val="ptopslijst1"/>
        <w:rPr>
          <w:lang w:val="nl-NL"/>
        </w:rPr>
      </w:pPr>
      <w:r w:rsidRPr="00DD1761">
        <w:rPr>
          <w:lang w:val="nl-NL"/>
        </w:rPr>
        <w:t>4.</w:t>
      </w:r>
      <w:r w:rsidRPr="00DD1761">
        <w:rPr>
          <w:lang w:val="nl-NL"/>
        </w:rPr>
        <w:tab/>
        <w:t>De vennootschappelijke winst over 2015 is: € 200.000 -/- € 20.000 = € 180.000</w:t>
      </w:r>
    </w:p>
    <w:p w:rsidR="002D5294" w:rsidRPr="00DD1761" w:rsidRDefault="002D5294" w:rsidP="002D5294">
      <w:pPr>
        <w:pStyle w:val="ptopslijst1"/>
        <w:rPr>
          <w:lang w:val="nl-NL"/>
        </w:rPr>
      </w:pPr>
    </w:p>
    <w:p w:rsidR="002D5294" w:rsidRPr="00DD1761" w:rsidRDefault="002D5294" w:rsidP="002D5294">
      <w:pPr>
        <w:pStyle w:val="ptopslijst1"/>
        <w:rPr>
          <w:lang w:val="nl-NL"/>
        </w:rPr>
      </w:pPr>
      <w:r w:rsidRPr="00DD1761">
        <w:rPr>
          <w:lang w:val="nl-NL"/>
        </w:rPr>
        <w:t>5.</w:t>
      </w:r>
      <w:r w:rsidRPr="00DD1761">
        <w:rPr>
          <w:lang w:val="nl-NL"/>
        </w:rPr>
        <w:tab/>
        <w:t>De fiscale winst (volgens deel 1 van de vermogensvergelijking) over 2015 is € 200.000. In deel 2 (de staart) van de vermogensvergelijking wordt de HIR van € 20.000 als aftrekpost opgenomen, onder de rubriek ‘Mutaties fiscale reserves’. Hierdoor wordt de belastbare winst over 2015: € 200.000 -/- € 20.000 = € 180.000.</w:t>
      </w:r>
    </w:p>
    <w:p w:rsidR="002D5294" w:rsidRPr="00DD1761" w:rsidRDefault="002D5294" w:rsidP="002D5294">
      <w:pPr>
        <w:pStyle w:val="k2kop2aopgaven"/>
        <w:rPr>
          <w:lang w:val="nl-NL"/>
        </w:rPr>
      </w:pPr>
      <w:r w:rsidRPr="00DD1761">
        <w:rPr>
          <w:lang w:val="nl-NL"/>
        </w:rPr>
        <w:t>Opgave</w:t>
      </w:r>
      <w:r w:rsidRPr="00DD1761">
        <w:rPr>
          <w:rStyle w:val="Bold"/>
          <w:lang w:val="nl-NL"/>
        </w:rPr>
        <w:t xml:space="preserve"> </w:t>
      </w:r>
      <w:r w:rsidRPr="00DD1761">
        <w:rPr>
          <w:lang w:val="nl-NL"/>
        </w:rPr>
        <w:t>6.7</w:t>
      </w:r>
    </w:p>
    <w:p w:rsidR="002D5294" w:rsidRPr="00DD1761" w:rsidRDefault="002D5294" w:rsidP="002D5294">
      <w:pPr>
        <w:pStyle w:val="k2kop2bopgaven"/>
        <w:rPr>
          <w:lang w:val="nl-NL"/>
        </w:rPr>
      </w:pPr>
      <w:r w:rsidRPr="00DD1761">
        <w:rPr>
          <w:lang w:val="nl-NL"/>
        </w:rPr>
        <w:t>(herinvesteringsreserve bij een kleine rechtspersoon)</w:t>
      </w:r>
    </w:p>
    <w:p w:rsidR="002D5294" w:rsidRPr="00DD1761" w:rsidRDefault="002D5294" w:rsidP="002D5294">
      <w:pPr>
        <w:pStyle w:val="k2kop2bopgaven"/>
        <w:rPr>
          <w:lang w:val="nl-NL"/>
        </w:rPr>
      </w:pPr>
    </w:p>
    <w:p w:rsidR="002D5294" w:rsidRPr="00DD1761" w:rsidRDefault="002D5294" w:rsidP="002D5294">
      <w:pPr>
        <w:pStyle w:val="ptopslijst1"/>
        <w:rPr>
          <w:lang w:val="nl-NL"/>
        </w:rPr>
      </w:pPr>
      <w:r w:rsidRPr="00DD1761">
        <w:rPr>
          <w:lang w:val="nl-NL"/>
        </w:rPr>
        <w:t>1.</w:t>
      </w:r>
      <w:r w:rsidRPr="00DD1761">
        <w:rPr>
          <w:lang w:val="nl-NL"/>
        </w:rPr>
        <w:tab/>
        <w:t>De journaalpost van de verkoop van het bedrijfsmiddel:</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80.000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Bedrijfsmiddel</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60.000</w:t>
            </w: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HIR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2.</w:t>
      </w:r>
      <w:r w:rsidRPr="00DD1761">
        <w:rPr>
          <w:lang w:val="nl-NL"/>
        </w:rPr>
        <w:tab/>
        <w:t>De journaalpost van de afboeking van de HIR:</w:t>
      </w:r>
    </w:p>
    <w:p w:rsidR="002D5294" w:rsidRPr="00DD1761"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DD1761"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HIR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Bedrijfsmiddel</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90.000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110.000</w:t>
            </w:r>
          </w:p>
        </w:tc>
      </w:tr>
    </w:tbl>
    <w:p w:rsidR="002D5294" w:rsidRPr="005E489B" w:rsidRDefault="002D5294" w:rsidP="002D5294">
      <w:pPr>
        <w:pStyle w:val="pt"/>
      </w:pPr>
    </w:p>
    <w:p w:rsidR="002D5294" w:rsidRPr="00DD1761" w:rsidRDefault="002D5294" w:rsidP="002D5294">
      <w:pPr>
        <w:pStyle w:val="ptopslijst1"/>
        <w:rPr>
          <w:lang w:val="nl-NL"/>
        </w:rPr>
      </w:pPr>
      <w:r w:rsidRPr="00DD1761">
        <w:rPr>
          <w:lang w:val="nl-NL"/>
        </w:rPr>
        <w:t>3.</w:t>
      </w:r>
      <w:r w:rsidRPr="00DD1761">
        <w:rPr>
          <w:lang w:val="nl-NL"/>
        </w:rPr>
        <w:tab/>
        <w:t>De fiscale winst over 2015 is: € 180.000 + € 20.000 (boekwinst) -/- € 20.000 (kosten aanwending HIR) = € 180.000. Op de fiscale winst-en-verliesrekening wordt de boekwinst als opbrengst verantwoord, en de aanwending als kostenpost. De fiscale winst is gelijk aan de vennootschappelijke winst.</w:t>
      </w:r>
    </w:p>
    <w:p w:rsidR="002D5294" w:rsidRPr="00DD1761" w:rsidRDefault="002D5294" w:rsidP="002D5294">
      <w:pPr>
        <w:pStyle w:val="k2kop2aopgaven"/>
        <w:rPr>
          <w:lang w:val="nl-NL"/>
        </w:rPr>
      </w:pPr>
      <w:r w:rsidRPr="00DD1761">
        <w:rPr>
          <w:lang w:val="nl-NL"/>
        </w:rPr>
        <w:lastRenderedPageBreak/>
        <w:t>Opgave</w:t>
      </w:r>
      <w:r w:rsidRPr="00DD1761">
        <w:rPr>
          <w:rStyle w:val="Bold"/>
          <w:lang w:val="nl-NL"/>
        </w:rPr>
        <w:t xml:space="preserve"> </w:t>
      </w:r>
      <w:r w:rsidRPr="00DD1761">
        <w:rPr>
          <w:lang w:val="nl-NL"/>
        </w:rPr>
        <w:t>6.8</w:t>
      </w:r>
    </w:p>
    <w:p w:rsidR="002D5294" w:rsidRPr="00DD1761" w:rsidRDefault="002D5294" w:rsidP="002D5294">
      <w:pPr>
        <w:pStyle w:val="k2kop2bopgaven"/>
        <w:rPr>
          <w:lang w:val="nl-NL"/>
        </w:rPr>
      </w:pPr>
      <w:r w:rsidRPr="00DD1761">
        <w:rPr>
          <w:lang w:val="nl-NL"/>
        </w:rPr>
        <w:t>(herinvesteringsreserve bij een kleine rechtspersoon)</w:t>
      </w:r>
    </w:p>
    <w:p w:rsidR="002D5294" w:rsidRPr="00DD1761" w:rsidRDefault="002D5294" w:rsidP="002D5294">
      <w:pPr>
        <w:pStyle w:val="k2kop2bopgaven"/>
        <w:rPr>
          <w:lang w:val="nl-NL"/>
        </w:rPr>
      </w:pPr>
    </w:p>
    <w:p w:rsidR="002D5294" w:rsidRPr="00DD1761" w:rsidRDefault="002D5294" w:rsidP="002D5294">
      <w:pPr>
        <w:pStyle w:val="ptopslijst1"/>
        <w:rPr>
          <w:lang w:val="nl-NL"/>
        </w:rPr>
      </w:pPr>
      <w:r w:rsidRPr="00DD1761">
        <w:rPr>
          <w:lang w:val="nl-NL"/>
        </w:rPr>
        <w:t>1.</w:t>
      </w:r>
      <w:r w:rsidRPr="00DD1761">
        <w:rPr>
          <w:lang w:val="nl-NL"/>
        </w:rPr>
        <w:tab/>
        <w:t>De vennootschappelijke winst over 2016 is: € 80.000 + € 20.000 (vrijval HIR) = € 100.000.</w:t>
      </w:r>
    </w:p>
    <w:p w:rsidR="002D5294" w:rsidRPr="00DD1761" w:rsidRDefault="002D5294" w:rsidP="002D5294">
      <w:pPr>
        <w:pStyle w:val="ptopslijst1"/>
        <w:rPr>
          <w:lang w:val="nl-NL"/>
        </w:rPr>
      </w:pPr>
    </w:p>
    <w:p w:rsidR="002D5294" w:rsidRPr="00DD1761" w:rsidRDefault="002D5294" w:rsidP="002D5294">
      <w:pPr>
        <w:pStyle w:val="ptopslijst1"/>
        <w:rPr>
          <w:lang w:val="nl-NL"/>
        </w:rPr>
      </w:pPr>
      <w:r w:rsidRPr="00DD1761">
        <w:rPr>
          <w:lang w:val="nl-NL"/>
        </w:rPr>
        <w:t>2.</w:t>
      </w:r>
      <w:r w:rsidRPr="00DD1761">
        <w:rPr>
          <w:lang w:val="nl-NL"/>
        </w:rPr>
        <w:tab/>
        <w:t>De fiscale winst (volgens deel 1 van de vermogensvergelijking) is € 80.000. De vrijval van de HIR blijft buiten de fiscale winst, want in de staart van de vermogensvergelijking wordt de vrijval opgenomen onder de rubriek ‘Mutaties fiscale reserves’. Hierdoor wordt de belastbare winst over 2016: € 80.000 + € 20.000 = € 100.000.</w:t>
      </w:r>
    </w:p>
    <w:p w:rsidR="002D5294" w:rsidRPr="00DD1761" w:rsidRDefault="002D5294" w:rsidP="002D5294">
      <w:pPr>
        <w:pStyle w:val="k2kop2aopgaven"/>
        <w:rPr>
          <w:lang w:val="nl-NL"/>
        </w:rPr>
      </w:pPr>
      <w:r w:rsidRPr="00DD1761">
        <w:rPr>
          <w:lang w:val="nl-NL"/>
        </w:rPr>
        <w:t>Opgave</w:t>
      </w:r>
      <w:r w:rsidRPr="00DD1761">
        <w:rPr>
          <w:rStyle w:val="Bold"/>
          <w:lang w:val="nl-NL"/>
        </w:rPr>
        <w:t xml:space="preserve"> </w:t>
      </w:r>
      <w:r w:rsidRPr="00DD1761">
        <w:rPr>
          <w:lang w:val="nl-NL"/>
        </w:rPr>
        <w:t>6.9</w:t>
      </w:r>
    </w:p>
    <w:p w:rsidR="002D5294" w:rsidRPr="00DD1761" w:rsidRDefault="002D5294" w:rsidP="002D5294">
      <w:pPr>
        <w:pStyle w:val="k2kop2bopgaven"/>
        <w:rPr>
          <w:lang w:val="nl-NL"/>
        </w:rPr>
      </w:pPr>
      <w:r w:rsidRPr="00DD1761">
        <w:rPr>
          <w:lang w:val="nl-NL"/>
        </w:rPr>
        <w:t>(kostenegalisatiereserve bij een kleine rechtspersoon)</w:t>
      </w:r>
    </w:p>
    <w:p w:rsidR="002D5294" w:rsidRPr="00DD1761" w:rsidRDefault="002D5294" w:rsidP="002D5294">
      <w:pPr>
        <w:pStyle w:val="k2kop2bopgaven"/>
        <w:rPr>
          <w:lang w:val="nl-NL"/>
        </w:rPr>
      </w:pPr>
    </w:p>
    <w:p w:rsidR="002D5294" w:rsidRPr="002D5294" w:rsidRDefault="002D5294" w:rsidP="002D5294">
      <w:pPr>
        <w:pStyle w:val="ptopslijst1"/>
        <w:rPr>
          <w:lang w:val="nl-NL"/>
        </w:rPr>
      </w:pPr>
      <w:r w:rsidRPr="002D5294">
        <w:rPr>
          <w:lang w:val="nl-NL"/>
        </w:rPr>
        <w:t>1.</w:t>
      </w:r>
      <w:r w:rsidRPr="002D5294">
        <w:rPr>
          <w:lang w:val="nl-NL"/>
        </w:rPr>
        <w:tab/>
        <w:t>Ameland bv heeft twee mogelijkheden:</w:t>
      </w:r>
    </w:p>
    <w:p w:rsidR="002D5294" w:rsidRPr="002D5294" w:rsidRDefault="002D5294" w:rsidP="002D5294">
      <w:pPr>
        <w:pStyle w:val="ptopslijst1"/>
        <w:tabs>
          <w:tab w:val="left" w:pos="810"/>
        </w:tabs>
        <w:rPr>
          <w:lang w:val="nl-NL"/>
        </w:rPr>
      </w:pPr>
      <w:r w:rsidRPr="002D5294">
        <w:rPr>
          <w:lang w:val="nl-NL"/>
        </w:rPr>
        <w:tab/>
        <w:t>1.</w:t>
      </w:r>
      <w:r w:rsidRPr="002D5294">
        <w:rPr>
          <w:lang w:val="nl-NL"/>
        </w:rPr>
        <w:tab/>
        <w:t>het vormen van een KER;</w:t>
      </w:r>
    </w:p>
    <w:p w:rsidR="002D5294" w:rsidRPr="002D5294" w:rsidRDefault="002D5294" w:rsidP="002D5294">
      <w:pPr>
        <w:pStyle w:val="ptopslijst1"/>
        <w:tabs>
          <w:tab w:val="left" w:pos="810"/>
        </w:tabs>
        <w:rPr>
          <w:lang w:val="nl-NL"/>
        </w:rPr>
      </w:pPr>
      <w:r w:rsidRPr="002D5294">
        <w:rPr>
          <w:lang w:val="nl-NL"/>
        </w:rPr>
        <w:tab/>
        <w:t>2.</w:t>
      </w:r>
      <w:r w:rsidRPr="002D5294">
        <w:rPr>
          <w:lang w:val="nl-NL"/>
        </w:rPr>
        <w:tab/>
        <w:t>het vormen van een voorziening.</w:t>
      </w:r>
    </w:p>
    <w:p w:rsidR="002D5294" w:rsidRPr="002D5294" w:rsidRDefault="002D5294" w:rsidP="002D5294">
      <w:pPr>
        <w:pStyle w:val="ptopslijst1"/>
        <w:rPr>
          <w:lang w:val="nl-NL"/>
        </w:rPr>
      </w:pPr>
    </w:p>
    <w:p w:rsidR="002D5294" w:rsidRPr="002D5294" w:rsidRDefault="002D5294" w:rsidP="002D5294">
      <w:pPr>
        <w:pStyle w:val="pt"/>
        <w:rPr>
          <w:lang w:val="nl-NL"/>
        </w:rPr>
      </w:pPr>
      <w:r w:rsidRPr="002D5294">
        <w:rPr>
          <w:lang w:val="nl-NL"/>
        </w:rPr>
        <w:t xml:space="preserve">Ameland bv kan slechts voor één van deze twee mogelijkheden kiezen. Kiest de bv voor het vormen van een voorziening, dan leidt dat niet tot verschillen tussen de vennootschappelijke winst en de fiscaal belastbare winst. Kiest Ameland bv voor het vormen van een KER, dan ontstaat er </w:t>
      </w:r>
      <w:proofErr w:type="spellStart"/>
      <w:r w:rsidRPr="002D5294">
        <w:rPr>
          <w:lang w:val="nl-NL"/>
        </w:rPr>
        <w:t>w</w:t>
      </w:r>
      <w:r w:rsidRPr="002D5294">
        <w:rPr>
          <w:lang w:val="nl-NL" w:bidi="ar-YE"/>
        </w:rPr>
        <w:t>é</w:t>
      </w:r>
      <w:r w:rsidRPr="002D5294">
        <w:rPr>
          <w:lang w:val="nl-NL"/>
        </w:rPr>
        <w:t>l</w:t>
      </w:r>
      <w:proofErr w:type="spellEnd"/>
      <w:r w:rsidRPr="002D5294">
        <w:rPr>
          <w:lang w:val="nl-NL"/>
        </w:rPr>
        <w:t xml:space="preserve"> een verschil tussen de vennootschappelijke winst en de fiscaal belastbare winst. In dat geval vindt een toevoeging aan de KER vennootschappelijk </w:t>
      </w:r>
      <w:proofErr w:type="spellStart"/>
      <w:r w:rsidRPr="002D5294">
        <w:rPr>
          <w:lang w:val="nl-NL" w:bidi="ar-YE"/>
        </w:rPr>
        <w:t>én</w:t>
      </w:r>
      <w:proofErr w:type="spellEnd"/>
      <w:r w:rsidRPr="002D5294">
        <w:rPr>
          <w:lang w:val="nl-NL"/>
        </w:rPr>
        <w:t xml:space="preserve"> fiscaal plaats binnen het eigen vermogen, en is er in beide gevallen geen sprake van een kostenpost. Maar in deel 2 van de vermogensvergelijking – bij de berekening van de belastbare winst – wordt de toevoeging aan de KER in mindering gebracht op de fiscale winst. Hierdoor wijkt de vennootschappelijke winst af van de belastbare winst en ontstaat er een onderdruk, omdat bij een vennootschappelijke jaarrekening op fiscale grondslagen geen belastinglatentie kan worden gevormd.</w:t>
      </w:r>
    </w:p>
    <w:p w:rsidR="002D5294" w:rsidRPr="002D5294" w:rsidRDefault="002D5294" w:rsidP="002D5294">
      <w:pPr>
        <w:pStyle w:val="pt"/>
        <w:rPr>
          <w:lang w:val="nl-NL"/>
        </w:rPr>
      </w:pPr>
    </w:p>
    <w:p w:rsidR="002D5294" w:rsidRPr="002D5294" w:rsidRDefault="002D5294" w:rsidP="002D5294">
      <w:pPr>
        <w:pStyle w:val="ptopslijst1"/>
        <w:rPr>
          <w:lang w:val="nl-NL"/>
        </w:rPr>
      </w:pPr>
      <w:r w:rsidRPr="002D5294">
        <w:rPr>
          <w:lang w:val="nl-NL"/>
        </w:rPr>
        <w:t>2.</w:t>
      </w:r>
      <w:r w:rsidRPr="002D5294">
        <w:rPr>
          <w:lang w:val="nl-NL"/>
        </w:rPr>
        <w:tab/>
        <w:t>De journaalpost van de reservering:</w:t>
      </w:r>
    </w:p>
    <w:p w:rsidR="002D5294" w:rsidRPr="002D5294"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2D5294"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KER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20.000</w:t>
            </w:r>
          </w:p>
        </w:tc>
      </w:tr>
    </w:tbl>
    <w:p w:rsidR="002D5294" w:rsidRPr="005E489B" w:rsidRDefault="002D5294" w:rsidP="002D5294">
      <w:pPr>
        <w:pStyle w:val="pt"/>
      </w:pPr>
    </w:p>
    <w:p w:rsidR="002D5294" w:rsidRPr="002D5294" w:rsidRDefault="002D5294" w:rsidP="002D5294">
      <w:pPr>
        <w:pStyle w:val="ptopslijst1"/>
        <w:rPr>
          <w:lang w:val="nl-NL"/>
        </w:rPr>
      </w:pPr>
      <w:r w:rsidRPr="002D5294">
        <w:rPr>
          <w:lang w:val="nl-NL"/>
        </w:rPr>
        <w:t>3.</w:t>
      </w:r>
      <w:r w:rsidRPr="002D5294">
        <w:rPr>
          <w:lang w:val="nl-NL"/>
        </w:rPr>
        <w:tab/>
        <w:t>De fiscale winst over 2015 is gelijk aan de vennootschappelijke winst en is € 100.000. Omdat de toevoeging aan de KER voor de berekening van de belastbare winst een aftrekpost is, wordt de belastbare winst: € 100.000 -/- € 20.000 = € 80.000.</w:t>
      </w:r>
    </w:p>
    <w:p w:rsidR="002D5294" w:rsidRPr="002D5294" w:rsidRDefault="002D5294" w:rsidP="002D5294">
      <w:pPr>
        <w:pStyle w:val="ptopslijst1"/>
        <w:rPr>
          <w:lang w:val="nl-NL"/>
        </w:rPr>
      </w:pPr>
    </w:p>
    <w:p w:rsidR="002D5294" w:rsidRPr="00CC02FB" w:rsidRDefault="002D5294" w:rsidP="002D5294">
      <w:pPr>
        <w:pStyle w:val="ptopslijst1"/>
        <w:rPr>
          <w:lang w:val="nl-NL"/>
        </w:rPr>
      </w:pPr>
      <w:r w:rsidRPr="00CC02FB">
        <w:rPr>
          <w:lang w:val="nl-NL"/>
        </w:rPr>
        <w:t>4.</w:t>
      </w:r>
      <w:r w:rsidRPr="00CC02FB">
        <w:rPr>
          <w:lang w:val="nl-NL"/>
        </w:rPr>
        <w:tab/>
        <w:t>Omdat bij het toepassen van fiscale waarderingsgrondslagen geen belastinglatentie mag worden gevormd, is in dit geval sprake van onderdruk. De belastinglast is namelijk: 20% × € 80.000 = € 16.000, wat leidt tot een belastingdruk van: (€ 16.000/€ 100.000) × 100% = 16%.</w:t>
      </w:r>
    </w:p>
    <w:p w:rsidR="002D5294" w:rsidRPr="002D5294" w:rsidRDefault="002D5294" w:rsidP="002D5294">
      <w:pPr>
        <w:pStyle w:val="k2kop2aopgaven"/>
        <w:rPr>
          <w:lang w:val="nl-NL"/>
        </w:rPr>
      </w:pPr>
      <w:r w:rsidRPr="002D5294">
        <w:rPr>
          <w:lang w:val="nl-NL"/>
        </w:rPr>
        <w:t>Opgave</w:t>
      </w:r>
      <w:r w:rsidRPr="002D5294">
        <w:rPr>
          <w:rStyle w:val="Bold"/>
          <w:lang w:val="nl-NL"/>
        </w:rPr>
        <w:t xml:space="preserve"> </w:t>
      </w:r>
      <w:r w:rsidRPr="002D5294">
        <w:rPr>
          <w:lang w:val="nl-NL"/>
        </w:rPr>
        <w:t>6.10</w:t>
      </w:r>
    </w:p>
    <w:p w:rsidR="002D5294" w:rsidRPr="002D5294" w:rsidRDefault="002D5294" w:rsidP="002D5294">
      <w:pPr>
        <w:pStyle w:val="k2kop2bopgaven"/>
        <w:rPr>
          <w:lang w:val="nl-NL"/>
        </w:rPr>
      </w:pPr>
      <w:r w:rsidRPr="002D5294">
        <w:rPr>
          <w:lang w:val="nl-NL"/>
        </w:rPr>
        <w:t>(</w:t>
      </w:r>
      <w:proofErr w:type="spellStart"/>
      <w:r w:rsidRPr="002D5294">
        <w:rPr>
          <w:lang w:val="nl-NL"/>
        </w:rPr>
        <w:t>kostenegalisatiereserve</w:t>
      </w:r>
      <w:proofErr w:type="spellEnd"/>
      <w:r w:rsidRPr="002D5294">
        <w:rPr>
          <w:lang w:val="nl-NL"/>
        </w:rPr>
        <w:t xml:space="preserve"> bij een kleine rechtspersoon)</w:t>
      </w:r>
    </w:p>
    <w:p w:rsidR="002D5294" w:rsidRPr="002D5294" w:rsidRDefault="002D5294" w:rsidP="002D5294">
      <w:pPr>
        <w:pStyle w:val="k2kop2bopgaven"/>
        <w:rPr>
          <w:lang w:val="nl-NL"/>
        </w:rPr>
      </w:pPr>
    </w:p>
    <w:p w:rsidR="002D5294" w:rsidRPr="002D5294" w:rsidRDefault="002D5294" w:rsidP="002D5294">
      <w:pPr>
        <w:pStyle w:val="ptopslijst1"/>
        <w:rPr>
          <w:lang w:val="nl-NL"/>
        </w:rPr>
      </w:pPr>
      <w:r w:rsidRPr="002D5294">
        <w:rPr>
          <w:lang w:val="nl-NL"/>
        </w:rPr>
        <w:t>1.</w:t>
      </w:r>
      <w:r w:rsidRPr="002D5294">
        <w:rPr>
          <w:lang w:val="nl-NL"/>
        </w:rPr>
        <w:tab/>
        <w:t>De journaalpost van de reservering:</w:t>
      </w:r>
    </w:p>
    <w:p w:rsidR="002D5294" w:rsidRPr="002D5294"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2D5294"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KER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10.000</w:t>
            </w:r>
          </w:p>
        </w:tc>
      </w:tr>
    </w:tbl>
    <w:p w:rsidR="002D5294" w:rsidRPr="005E489B" w:rsidRDefault="002D5294" w:rsidP="002D5294">
      <w:pPr>
        <w:pStyle w:val="pt"/>
      </w:pPr>
    </w:p>
    <w:p w:rsidR="002D5294" w:rsidRPr="002D5294" w:rsidRDefault="002D5294" w:rsidP="002D5294">
      <w:pPr>
        <w:pStyle w:val="pt"/>
        <w:rPr>
          <w:lang w:val="nl-NL"/>
        </w:rPr>
      </w:pPr>
      <w:r w:rsidRPr="002D5294">
        <w:rPr>
          <w:lang w:val="nl-NL"/>
        </w:rPr>
        <w:t>De journaalpost van de betaling voor groot onderhoud:</w:t>
      </w:r>
    </w:p>
    <w:p w:rsidR="002D5294" w:rsidRPr="002D5294" w:rsidRDefault="002D5294" w:rsidP="002D5294">
      <w:pPr>
        <w:pStyle w:val="pt"/>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2D5294"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440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Onderhoudskosten</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w:t>
            </w:r>
          </w:p>
        </w:tc>
      </w:tr>
    </w:tbl>
    <w:p w:rsidR="002D5294" w:rsidRPr="005E489B" w:rsidRDefault="002D5294" w:rsidP="002D5294">
      <w:pPr>
        <w:pStyle w:val="pt"/>
      </w:pPr>
    </w:p>
    <w:p w:rsidR="002D5294" w:rsidRPr="00CC02FB" w:rsidRDefault="002D5294" w:rsidP="002D5294">
      <w:pPr>
        <w:pStyle w:val="ptopslijst1"/>
        <w:rPr>
          <w:lang w:val="nl-NL"/>
        </w:rPr>
      </w:pPr>
      <w:r w:rsidRPr="00CC02FB">
        <w:rPr>
          <w:lang w:val="nl-NL"/>
        </w:rPr>
        <w:t>2.</w:t>
      </w:r>
      <w:r w:rsidRPr="00CC02FB">
        <w:rPr>
          <w:lang w:val="nl-NL"/>
        </w:rPr>
        <w:tab/>
        <w:t>De fiscale winst over 2015 is gelijk aan de commerciële (vennootschappelijke) winst, en is € 140.000.</w:t>
      </w:r>
    </w:p>
    <w:p w:rsidR="002D5294" w:rsidRPr="00CC02FB" w:rsidRDefault="002D5294" w:rsidP="002D5294">
      <w:pPr>
        <w:pStyle w:val="ptopslijst1"/>
        <w:rPr>
          <w:lang w:val="nl-NL"/>
        </w:rPr>
      </w:pPr>
    </w:p>
    <w:p w:rsidR="002D5294" w:rsidRPr="00CC02FB" w:rsidRDefault="002D5294" w:rsidP="002D5294">
      <w:pPr>
        <w:pStyle w:val="pt"/>
        <w:rPr>
          <w:lang w:val="nl-NL"/>
        </w:rPr>
      </w:pPr>
      <w:r w:rsidRPr="00CC02FB">
        <w:rPr>
          <w:lang w:val="nl-NL"/>
        </w:rPr>
        <w:t xml:space="preserve">De onderhoudskosten van € 40.000 zijn ten laste van de commerciële winst gebracht, wat tot een commerciële winst leidde van € 140.000. De uitgaven voor onderhoud zijn – in vennootschappelijke zin – kosten in het jaar dat het onderhoud wordt uigevoerd. De kosten komen vennootschappelijk </w:t>
      </w:r>
      <w:r w:rsidRPr="00CC02FB">
        <w:rPr>
          <w:rStyle w:val="Italic"/>
          <w:iCs/>
          <w:lang w:val="nl-NL"/>
        </w:rPr>
        <w:t>niet</w:t>
      </w:r>
      <w:r w:rsidRPr="00CC02FB">
        <w:rPr>
          <w:lang w:val="nl-NL"/>
        </w:rPr>
        <w:t xml:space="preserve"> ten laste van de KER. Zou dit </w:t>
      </w:r>
      <w:proofErr w:type="spellStart"/>
      <w:r w:rsidRPr="00CC02FB">
        <w:rPr>
          <w:lang w:val="nl-NL"/>
        </w:rPr>
        <w:t>wél</w:t>
      </w:r>
      <w:proofErr w:type="spellEnd"/>
      <w:r w:rsidRPr="00CC02FB">
        <w:rPr>
          <w:lang w:val="nl-NL"/>
        </w:rPr>
        <w:t xml:space="preserve"> zo zijn, dan zouden de kosten niet via de winst-en-verliesrekening lopen, maar rechtstreeks in mindering worden gebracht op het eigen vermogen. Dit is vennootschappelijk niet de bedoeling omdat de toevoegingen aan de KER vennootschappelijk niet ten laste van de commerciële winst zijn gekomen. Daarom moet de uitvoering van het onderhoud nu als kosten worden geboekt.</w:t>
      </w:r>
    </w:p>
    <w:p w:rsidR="002D5294" w:rsidRPr="00CC02FB" w:rsidRDefault="002D5294" w:rsidP="002D5294">
      <w:pPr>
        <w:pStyle w:val="pt"/>
        <w:rPr>
          <w:lang w:val="nl-NL"/>
        </w:rPr>
      </w:pPr>
    </w:p>
    <w:p w:rsidR="002D5294" w:rsidRPr="00CC02FB" w:rsidRDefault="002D5294" w:rsidP="002D5294">
      <w:pPr>
        <w:pStyle w:val="pt"/>
        <w:rPr>
          <w:lang w:val="nl-NL"/>
        </w:rPr>
      </w:pPr>
      <w:r w:rsidRPr="00CC02FB">
        <w:rPr>
          <w:lang w:val="nl-NL"/>
        </w:rPr>
        <w:t>De aanwending van de KER is fiscaal ook een kostenpost, als ‘kosten aanwending KER’. In deel 2 van de vermogensvergelijking wordt de afname van de KER (de € 40.000 die is betaald voor onderhoud) bij de fiscale winst opgeteld voor de berekening van de belastbare winst. Hierdoor heeft de uitvoering van het onderhoud per saldo geen invloed op de belastbare winst. Verder wordt de toevoeging aan de KER ad € 10.000 in deel 2 van de vermogensvergelijking in mindering gebracht op de belastbare winst. Dit leidt tot een belastbare winst over 2015 van: € 140.000 + € 40.000 -/- € 10.000 = € 170.000.</w:t>
      </w:r>
    </w:p>
    <w:p w:rsidR="002D5294" w:rsidRPr="00CC02FB" w:rsidRDefault="002D5294" w:rsidP="002D5294">
      <w:pPr>
        <w:pStyle w:val="pt"/>
        <w:rPr>
          <w:lang w:val="nl-NL"/>
        </w:rPr>
      </w:pPr>
    </w:p>
    <w:p w:rsidR="002D5294" w:rsidRPr="00CC02FB" w:rsidRDefault="002D5294" w:rsidP="002D5294">
      <w:pPr>
        <w:pStyle w:val="ptopslijst1"/>
        <w:rPr>
          <w:lang w:val="nl-NL"/>
        </w:rPr>
      </w:pPr>
      <w:r w:rsidRPr="00CC02FB">
        <w:rPr>
          <w:lang w:val="nl-NL"/>
        </w:rPr>
        <w:t>3.</w:t>
      </w:r>
      <w:r w:rsidRPr="00CC02FB">
        <w:rPr>
          <w:lang w:val="nl-NL"/>
        </w:rPr>
        <w:tab/>
        <w:t>Omdat bij het gebruik van fiscale waarderingsgrondslagen geen belastinglatentie mag worden gevormd, is in dit geval sprake van overdruk. De belastinglast is namelijk: 20% × € 170.000 = € 34.000, wat leidt tot een belastingdruk van: (€ 34.000/€ 140.000) × 100% = 24,3%.</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4.</w:t>
      </w:r>
      <w:r w:rsidRPr="00CC02FB">
        <w:rPr>
          <w:lang w:val="nl-NL"/>
        </w:rPr>
        <w:tab/>
        <w:t>Het saldo van de KER per 31 december 2015 is: € 50.000 + € 10.000 -/- € 40.000 = € 20.000.</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5.</w:t>
      </w:r>
      <w:r w:rsidRPr="00CC02FB">
        <w:rPr>
          <w:lang w:val="nl-NL"/>
        </w:rPr>
        <w:tab/>
        <w:t>De vennootschappelijke journaalpost ter correctie van het saldo van de KER:</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KER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40.000</w:t>
            </w:r>
          </w:p>
        </w:tc>
      </w:tr>
    </w:tbl>
    <w:p w:rsidR="002D5294" w:rsidRPr="00C575A2" w:rsidRDefault="002D5294" w:rsidP="002D5294">
      <w:pPr>
        <w:pStyle w:val="k2kop2aopgaven"/>
      </w:pPr>
      <w:proofErr w:type="spellStart"/>
      <w:r w:rsidRPr="00C575A2">
        <w:t>Opgave</w:t>
      </w:r>
      <w:proofErr w:type="spellEnd"/>
      <w:r w:rsidRPr="00C575A2">
        <w:rPr>
          <w:rStyle w:val="Bold"/>
        </w:rPr>
        <w:t xml:space="preserve"> </w:t>
      </w:r>
      <w:r w:rsidRPr="00C575A2">
        <w:t>6.11</w:t>
      </w:r>
    </w:p>
    <w:p w:rsidR="002D5294" w:rsidRPr="00CC02FB" w:rsidRDefault="002D5294" w:rsidP="002D5294">
      <w:pPr>
        <w:pStyle w:val="k2kop2bopgaven"/>
        <w:rPr>
          <w:lang w:val="nl-NL"/>
        </w:rPr>
      </w:pPr>
      <w:r w:rsidRPr="00CC02FB">
        <w:rPr>
          <w:lang w:val="nl-NL"/>
        </w:rPr>
        <w:lastRenderedPageBreak/>
        <w:t>(</w:t>
      </w:r>
      <w:proofErr w:type="spellStart"/>
      <w:r w:rsidRPr="00CC02FB">
        <w:rPr>
          <w:lang w:val="nl-NL"/>
        </w:rPr>
        <w:t>kostenegalisatiereserve</w:t>
      </w:r>
      <w:proofErr w:type="spellEnd"/>
      <w:r w:rsidRPr="00CC02FB">
        <w:rPr>
          <w:lang w:val="nl-NL"/>
        </w:rPr>
        <w:t xml:space="preserve"> bij een kleine rechtspersoon)</w:t>
      </w:r>
    </w:p>
    <w:p w:rsidR="002D5294" w:rsidRPr="00CC02FB" w:rsidRDefault="002D5294" w:rsidP="002D5294">
      <w:pPr>
        <w:pStyle w:val="k2kop2bopgaven"/>
        <w:rPr>
          <w:lang w:val="nl-NL"/>
        </w:rPr>
      </w:pPr>
    </w:p>
    <w:p w:rsidR="002D5294" w:rsidRPr="00CC02FB" w:rsidRDefault="002D5294" w:rsidP="002D5294">
      <w:pPr>
        <w:pStyle w:val="ptopslijst1"/>
        <w:rPr>
          <w:lang w:val="nl-NL"/>
        </w:rPr>
      </w:pPr>
      <w:r w:rsidRPr="00CC02FB">
        <w:rPr>
          <w:lang w:val="nl-NL"/>
        </w:rPr>
        <w:t>1.</w:t>
      </w:r>
      <w:r w:rsidRPr="00CC02FB">
        <w:rPr>
          <w:lang w:val="nl-NL"/>
        </w:rPr>
        <w:tab/>
        <w:t>De vennootschappelijke journaalpost van de vrijval van de KER:</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KER</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30.000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091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30.000</w:t>
            </w:r>
          </w:p>
        </w:tc>
      </w:tr>
    </w:tbl>
    <w:p w:rsidR="002D5294" w:rsidRPr="005E489B" w:rsidRDefault="002D5294" w:rsidP="002D5294">
      <w:pPr>
        <w:pStyle w:val="pt"/>
      </w:pPr>
    </w:p>
    <w:p w:rsidR="002D5294" w:rsidRPr="00CC02FB" w:rsidRDefault="002D5294" w:rsidP="002D5294">
      <w:pPr>
        <w:pStyle w:val="ptopslijst1"/>
        <w:rPr>
          <w:lang w:val="nl-NL"/>
        </w:rPr>
      </w:pPr>
      <w:r w:rsidRPr="00CC02FB">
        <w:rPr>
          <w:lang w:val="nl-NL"/>
        </w:rPr>
        <w:t>2.</w:t>
      </w:r>
      <w:r w:rsidRPr="00CC02FB">
        <w:rPr>
          <w:lang w:val="nl-NL"/>
        </w:rPr>
        <w:tab/>
        <w:t>De fiscale winst over 2015 is gelijk aan de commerciële winst, en is € 40.000. De vrijval van de KER heeft geen invloed op de fiscale winst, maar wordt verwerkt in de staart (deel 2) van de vermogensvergelijking. De belastbare winst is € 40.000 + € 30.000 = € 70.000.</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3.</w:t>
      </w:r>
      <w:r w:rsidRPr="00CC02FB">
        <w:rPr>
          <w:lang w:val="nl-NL"/>
        </w:rPr>
        <w:tab/>
        <w:t>Omdat bij het gebruik van fiscale waarderingsgrondslagen geen belastinglatentie mag worden gevormd, is in deze situatie sprake van overdruk. De belastinglast is namelijk: 20% × € 70.000 = € 14.000, wat leidt tot een belastingdruk van: (€ 14.000/€ 40.000) × 100% = 35%.</w:t>
      </w:r>
    </w:p>
    <w:p w:rsidR="002D5294" w:rsidRPr="00CC02FB" w:rsidRDefault="002D5294" w:rsidP="002D5294">
      <w:pPr>
        <w:pStyle w:val="k2kop2aopgaven"/>
        <w:rPr>
          <w:lang w:val="nl-NL"/>
        </w:rPr>
      </w:pPr>
      <w:r w:rsidRPr="00CC02FB">
        <w:rPr>
          <w:lang w:val="nl-NL"/>
        </w:rPr>
        <w:t>Opgave</w:t>
      </w:r>
      <w:r w:rsidRPr="00CC02FB">
        <w:rPr>
          <w:rStyle w:val="Bold"/>
          <w:lang w:val="nl-NL"/>
        </w:rPr>
        <w:t xml:space="preserve"> </w:t>
      </w:r>
      <w:r w:rsidRPr="00CC02FB">
        <w:rPr>
          <w:lang w:val="nl-NL"/>
        </w:rPr>
        <w:t>6.12</w:t>
      </w:r>
    </w:p>
    <w:p w:rsidR="002D5294" w:rsidRPr="00CC02FB" w:rsidRDefault="002D5294" w:rsidP="002D5294">
      <w:pPr>
        <w:pStyle w:val="k2kop2bopgaven"/>
        <w:rPr>
          <w:lang w:val="nl-NL"/>
        </w:rPr>
      </w:pPr>
      <w:r w:rsidRPr="00CC02FB">
        <w:rPr>
          <w:lang w:val="nl-NL"/>
        </w:rPr>
        <w:t xml:space="preserve">(verwerking van de </w:t>
      </w:r>
      <w:proofErr w:type="spellStart"/>
      <w:r w:rsidRPr="00CC02FB">
        <w:rPr>
          <w:lang w:val="nl-NL"/>
        </w:rPr>
        <w:t>Vpb</w:t>
      </w:r>
      <w:proofErr w:type="spellEnd"/>
      <w:r w:rsidRPr="00CC02FB">
        <w:rPr>
          <w:lang w:val="nl-NL"/>
        </w:rPr>
        <w:t xml:space="preserve"> bij een kleine rechtspersoon)</w:t>
      </w:r>
    </w:p>
    <w:p w:rsidR="002D5294" w:rsidRPr="00CC02FB" w:rsidRDefault="002D5294" w:rsidP="002D5294">
      <w:pPr>
        <w:pStyle w:val="k2kop2bopgaven"/>
        <w:rPr>
          <w:lang w:val="nl-NL"/>
        </w:rPr>
      </w:pPr>
    </w:p>
    <w:p w:rsidR="002D5294" w:rsidRDefault="002D5294" w:rsidP="002D5294">
      <w:pPr>
        <w:pStyle w:val="ptopslijst1"/>
        <w:rPr>
          <w:lang w:val="nb-NO"/>
        </w:rPr>
      </w:pPr>
      <w:r w:rsidRPr="00CC02FB">
        <w:rPr>
          <w:lang w:val="nl-NL"/>
        </w:rPr>
        <w:t>1.</w:t>
      </w:r>
      <w:r w:rsidRPr="00CC02FB">
        <w:rPr>
          <w:lang w:val="nl-NL"/>
        </w:rPr>
        <w:tab/>
        <w:t xml:space="preserve">Omdat Texel bv de vennootschappelijke jaarrekening opmaakt volgens fiscale grondslagen, mag zij per ultimo 2014 geen actieve latentie </w:t>
      </w:r>
      <w:proofErr w:type="spellStart"/>
      <w:r w:rsidRPr="00CC02FB">
        <w:rPr>
          <w:lang w:val="nl-NL"/>
        </w:rPr>
        <w:t>Vpb</w:t>
      </w:r>
      <w:proofErr w:type="spellEnd"/>
      <w:r w:rsidRPr="00CC02FB">
        <w:rPr>
          <w:lang w:val="nl-NL"/>
        </w:rPr>
        <w:t xml:space="preserve"> opnemen in de jaarrekening. </w:t>
      </w:r>
      <w:r w:rsidRPr="0053685C">
        <w:rPr>
          <w:lang w:val="nb-NO"/>
        </w:rPr>
        <w:t>Daarom sluit de winst-en-verliesrekening over 2014 met een verlies van € 50.000.</w:t>
      </w:r>
    </w:p>
    <w:p w:rsidR="002D5294" w:rsidRPr="007F7043" w:rsidRDefault="002D5294" w:rsidP="002D5294">
      <w:pPr>
        <w:pStyle w:val="ptopslijst1"/>
        <w:rPr>
          <w:lang w:val="nb-NO"/>
        </w:rPr>
      </w:pPr>
    </w:p>
    <w:p w:rsidR="002D5294" w:rsidRPr="00CC02FB" w:rsidRDefault="002D5294" w:rsidP="002D5294">
      <w:pPr>
        <w:pStyle w:val="ptopslijst1"/>
        <w:rPr>
          <w:lang w:val="nl-NL"/>
        </w:rPr>
      </w:pPr>
      <w:r w:rsidRPr="007F7043">
        <w:rPr>
          <w:lang w:val="nb-NO"/>
        </w:rPr>
        <w:t>2.</w:t>
      </w:r>
      <w:r w:rsidRPr="007F7043">
        <w:rPr>
          <w:lang w:val="nb-NO"/>
        </w:rPr>
        <w:tab/>
        <w:t xml:space="preserve">Texel bv heeft in de jaarrekening over 2014 geen actieve latentie mogen opnemen. Daarom wordt in haar vennootschappelijke jaarrekening over 2015 de belastinglast berekend over een belastbaar bedrag van € 20.000, namelijk € 70.000 -/- € 50.000 (verlies 2014). </w:t>
      </w:r>
      <w:r w:rsidRPr="00CC02FB">
        <w:rPr>
          <w:lang w:val="nl-NL"/>
        </w:rPr>
        <w:t>De te betalen belasting is: 20% van € 20.000 = € 4.000.</w:t>
      </w:r>
    </w:p>
    <w:p w:rsidR="002D5294" w:rsidRPr="00CC02FB" w:rsidRDefault="002D5294" w:rsidP="002D5294">
      <w:pPr>
        <w:pStyle w:val="ptopslijst1"/>
        <w:rPr>
          <w:lang w:val="nl-NL"/>
        </w:rPr>
      </w:pPr>
    </w:p>
    <w:p w:rsidR="002D5294" w:rsidRPr="00CC02FB" w:rsidRDefault="002D5294" w:rsidP="002D5294">
      <w:pPr>
        <w:pStyle w:val="ptopslijst1"/>
        <w:rPr>
          <w:lang w:val="nl-NL"/>
        </w:rPr>
      </w:pPr>
      <w:r w:rsidRPr="00CC02FB">
        <w:rPr>
          <w:lang w:val="nl-NL"/>
        </w:rPr>
        <w:t>3.</w:t>
      </w:r>
      <w:r w:rsidRPr="00CC02FB">
        <w:rPr>
          <w:lang w:val="nl-NL"/>
        </w:rPr>
        <w:tab/>
        <w:t>De journaalpost van de belastinglast over 2015 is:</w:t>
      </w:r>
    </w:p>
    <w:p w:rsidR="002D5294" w:rsidRPr="00CC02FB" w:rsidRDefault="002D5294" w:rsidP="002D5294">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70"/>
        <w:gridCol w:w="1148"/>
      </w:tblGrid>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CC02FB" w:rsidRDefault="002D5294"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998</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Belastinglast</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w:t>
            </w: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r>
      <w:tr w:rsidR="002D5294"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NoParagraphStyle"/>
              <w:spacing w:line="240" w:lineRule="auto"/>
              <w:jc w:val="right"/>
              <w:textAlignment w:val="auto"/>
              <w:rPr>
                <w:rFonts w:ascii="Verdana" w:hAnsi="Verdana" w:cs="Times New Roman"/>
                <w:color w:val="auto"/>
                <w:lang w:val="it-IT"/>
              </w:rPr>
            </w:pPr>
          </w:p>
        </w:tc>
        <w:tc>
          <w:tcPr>
            <w:tcW w:w="11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jc w:val="right"/>
              <w:rPr>
                <w:color w:val="auto"/>
              </w:rPr>
            </w:pPr>
            <w:r w:rsidRPr="00884BD1">
              <w:rPr>
                <w:color w:val="auto"/>
              </w:rPr>
              <w:t>4.000</w:t>
            </w:r>
          </w:p>
        </w:tc>
      </w:tr>
    </w:tbl>
    <w:p w:rsidR="002D5294" w:rsidRPr="005E489B" w:rsidRDefault="002D5294" w:rsidP="002D5294">
      <w:pPr>
        <w:pStyle w:val="pt"/>
      </w:pPr>
    </w:p>
    <w:p w:rsidR="002D5294" w:rsidRDefault="002D5294" w:rsidP="002D5294">
      <w:pPr>
        <w:pStyle w:val="ptopslijst1"/>
      </w:pPr>
      <w:r w:rsidRPr="005E489B">
        <w:t>4.</w:t>
      </w:r>
      <w:r w:rsidRPr="005E489B">
        <w:tab/>
        <w:t xml:space="preserve">De </w:t>
      </w:r>
      <w:proofErr w:type="spellStart"/>
      <w:r w:rsidRPr="005E489B">
        <w:t>belastingdruk</w:t>
      </w:r>
      <w:proofErr w:type="spellEnd"/>
      <w:r w:rsidRPr="005E489B">
        <w:t xml:space="preserve"> over 2015 is: (€ 4.000/€ 70.000) × 100% = 5,7%.</w:t>
      </w:r>
    </w:p>
    <w:p w:rsidR="002D5294" w:rsidRPr="005E489B" w:rsidRDefault="002D5294" w:rsidP="002D5294">
      <w:pPr>
        <w:pStyle w:val="ptopslijst1"/>
      </w:pPr>
    </w:p>
    <w:p w:rsidR="002D5294" w:rsidRPr="00CC02FB" w:rsidRDefault="002D5294" w:rsidP="002D5294">
      <w:pPr>
        <w:pStyle w:val="ptopslijst1"/>
        <w:rPr>
          <w:lang w:val="nl-NL"/>
        </w:rPr>
      </w:pPr>
      <w:r w:rsidRPr="00CC02FB">
        <w:rPr>
          <w:lang w:val="nl-NL"/>
        </w:rPr>
        <w:t>5.</w:t>
      </w:r>
      <w:r w:rsidRPr="00CC02FB">
        <w:rPr>
          <w:lang w:val="nl-NL"/>
        </w:rPr>
        <w:tab/>
        <w:t>Fiscaal eindvermogen = fiscaal beginvermogen + winst -/- onttrekking</w:t>
      </w:r>
    </w:p>
    <w:p w:rsidR="002D5294" w:rsidRPr="00CC02FB" w:rsidRDefault="002D5294" w:rsidP="002D5294">
      <w:pPr>
        <w:pStyle w:val="ptopslijst1"/>
        <w:rPr>
          <w:lang w:val="nl-NL"/>
        </w:rPr>
      </w:pPr>
      <w:r w:rsidRPr="00CC02FB">
        <w:rPr>
          <w:lang w:val="nl-NL"/>
        </w:rPr>
        <w:tab/>
        <w:t>Het fiscale vermogen per 31 december 2015 is: € 50.000 + € 70.000 -/- € 4.000 = € 116.000.</w:t>
      </w:r>
    </w:p>
    <w:p w:rsidR="002D5294" w:rsidRPr="00CC02FB" w:rsidRDefault="002D5294" w:rsidP="002D5294">
      <w:pPr>
        <w:pStyle w:val="ptopslijst1"/>
        <w:rPr>
          <w:lang w:val="nl-NL"/>
        </w:rPr>
      </w:pPr>
    </w:p>
    <w:p w:rsidR="002D5294" w:rsidRDefault="002D5294" w:rsidP="002D5294">
      <w:pPr>
        <w:pStyle w:val="ptopslijst1"/>
      </w:pPr>
      <w:r w:rsidRPr="005E489B">
        <w:t>6.</w:t>
      </w:r>
      <w:r w:rsidRPr="005E489B">
        <w:tab/>
        <w:t xml:space="preserve">De </w:t>
      </w:r>
      <w:proofErr w:type="spellStart"/>
      <w:r w:rsidRPr="005E489B">
        <w:t>fiscale</w:t>
      </w:r>
      <w:proofErr w:type="spellEnd"/>
      <w:r w:rsidRPr="005E489B">
        <w:t xml:space="preserve"> </w:t>
      </w:r>
      <w:proofErr w:type="spellStart"/>
      <w:r w:rsidRPr="005E489B">
        <w:t>vermogensvergelijking</w:t>
      </w:r>
      <w:proofErr w:type="spellEnd"/>
      <w:r w:rsidRPr="005E489B">
        <w:t xml:space="preserve"> over 2015:</w:t>
      </w:r>
    </w:p>
    <w:p w:rsidR="002D5294" w:rsidRPr="005E489B" w:rsidRDefault="002D5294" w:rsidP="002D5294">
      <w:pPr>
        <w:pStyle w:val="ptopslijst1"/>
      </w:pPr>
    </w:p>
    <w:tbl>
      <w:tblPr>
        <w:tblW w:w="0" w:type="auto"/>
        <w:tblInd w:w="80" w:type="dxa"/>
        <w:tblLayout w:type="fixed"/>
        <w:tblCellMar>
          <w:left w:w="0" w:type="dxa"/>
          <w:right w:w="0" w:type="dxa"/>
        </w:tblCellMar>
        <w:tblLook w:val="0000"/>
      </w:tblPr>
      <w:tblGrid>
        <w:gridCol w:w="8460"/>
        <w:gridCol w:w="1418"/>
      </w:tblGrid>
      <w:tr w:rsidR="002D5294"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Vermogen</w:t>
            </w:r>
            <w:proofErr w:type="spellEnd"/>
            <w:r w:rsidRPr="00884BD1">
              <w:rPr>
                <w:color w:val="auto"/>
              </w:rPr>
              <w:t xml:space="preserve"> per 31 </w:t>
            </w:r>
            <w:proofErr w:type="spellStart"/>
            <w:r w:rsidRPr="00884BD1">
              <w:rPr>
                <w:color w:val="auto"/>
              </w:rPr>
              <w:t>december</w:t>
            </w:r>
            <w:proofErr w:type="spellEnd"/>
            <w:r w:rsidRPr="00884BD1">
              <w:rPr>
                <w:color w:val="auto"/>
              </w:rPr>
              <w:t xml:space="preserve"> 2015</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5294" w:rsidRPr="00884BD1" w:rsidRDefault="002D5294"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116.000</w:t>
            </w:r>
          </w:p>
        </w:tc>
      </w:tr>
      <w:tr w:rsidR="002D5294"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Vermogen</w:t>
            </w:r>
            <w:proofErr w:type="spellEnd"/>
            <w:r w:rsidRPr="00884BD1">
              <w:rPr>
                <w:color w:val="auto"/>
              </w:rPr>
              <w:t xml:space="preserve"> per 1 </w:t>
            </w:r>
            <w:proofErr w:type="spellStart"/>
            <w:r w:rsidRPr="00884BD1">
              <w:rPr>
                <w:color w:val="auto"/>
              </w:rPr>
              <w:t>januari</w:t>
            </w:r>
            <w:proofErr w:type="spellEnd"/>
            <w:r w:rsidRPr="00884BD1">
              <w:rPr>
                <w:color w:val="auto"/>
              </w:rPr>
              <w:t xml:space="preserve"> 2015</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ind w:left="187"/>
              <w:rPr>
                <w:color w:val="auto"/>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w:t>
            </w:r>
            <w:r w:rsidRPr="00884BD1">
              <w:rPr>
                <w:color w:val="auto"/>
              </w:rPr>
              <w:t xml:space="preserve"> -/-</w:t>
            </w:r>
          </w:p>
        </w:tc>
      </w:tr>
      <w:tr w:rsidR="002D5294"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lastRenderedPageBreak/>
              <w:t>Vermogensmutatie</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5294" w:rsidRPr="00884BD1" w:rsidRDefault="002D5294"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66.000</w:t>
            </w:r>
          </w:p>
        </w:tc>
      </w:tr>
      <w:tr w:rsidR="002D5294"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2D5294" w:rsidRPr="00884BD1" w:rsidRDefault="002D5294" w:rsidP="001D2BB9">
            <w:pPr>
              <w:pStyle w:val="tabelpt"/>
              <w:ind w:left="187"/>
              <w:rPr>
                <w:color w:val="auto"/>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4.000</w:t>
            </w:r>
            <w:r w:rsidRPr="00884BD1">
              <w:rPr>
                <w:color w:val="auto"/>
              </w:rPr>
              <w:t xml:space="preserve"> +</w:t>
            </w:r>
          </w:p>
        </w:tc>
      </w:tr>
      <w:tr w:rsidR="002D5294"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2D5294" w:rsidRPr="00884BD1" w:rsidRDefault="002D5294" w:rsidP="001D2BB9">
            <w:pPr>
              <w:pStyle w:val="tabelpt"/>
              <w:rPr>
                <w:color w:val="auto"/>
              </w:rPr>
            </w:pPr>
            <w:proofErr w:type="spellStart"/>
            <w:r w:rsidRPr="00884BD1">
              <w:rPr>
                <w:color w:val="auto"/>
              </w:rPr>
              <w:t>Fiscale</w:t>
            </w:r>
            <w:proofErr w:type="spellEnd"/>
            <w:r w:rsidRPr="00884BD1">
              <w:rPr>
                <w:color w:val="auto"/>
              </w:rPr>
              <w:t xml:space="preserve"> en </w:t>
            </w: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2D5294" w:rsidRPr="00884BD1" w:rsidRDefault="002D5294"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70.000</w:t>
            </w:r>
          </w:p>
        </w:tc>
      </w:tr>
    </w:tbl>
    <w:p w:rsidR="00A839A0" w:rsidRDefault="00A839A0"/>
    <w:sectPr w:rsidR="00A839A0" w:rsidSect="00A839A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61" w:rsidRDefault="00DD1761" w:rsidP="00DD1761">
      <w:pPr>
        <w:spacing w:after="0" w:line="240" w:lineRule="auto"/>
      </w:pPr>
      <w:r>
        <w:separator/>
      </w:r>
    </w:p>
  </w:endnote>
  <w:endnote w:type="continuationSeparator" w:id="0">
    <w:p w:rsidR="00DD1761" w:rsidRDefault="00DD1761" w:rsidP="00DD1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UtopiaStd-Capt">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61" w:rsidRPr="00DD1761" w:rsidRDefault="00DD1761">
    <w:pPr>
      <w:pStyle w:val="Voettekst"/>
      <w:rPr>
        <w:rFonts w:ascii="Times New Roman" w:hAnsi="Times New Roman"/>
        <w:b/>
      </w:rPr>
    </w:pPr>
    <w:r w:rsidRPr="003E4197">
      <w:rPr>
        <w:rFonts w:ascii="Times New Roman" w:eastAsia="Calibri" w:hAnsi="Times New Roman"/>
        <w:b/>
        <w:sz w:val="20"/>
        <w:szCs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61" w:rsidRDefault="00DD1761" w:rsidP="00DD1761">
      <w:pPr>
        <w:spacing w:after="0" w:line="240" w:lineRule="auto"/>
      </w:pPr>
      <w:r>
        <w:separator/>
      </w:r>
    </w:p>
  </w:footnote>
  <w:footnote w:type="continuationSeparator" w:id="0">
    <w:p w:rsidR="00DD1761" w:rsidRDefault="00DD1761" w:rsidP="00DD1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61" w:rsidRPr="00DD1761" w:rsidRDefault="00DD1761">
    <w:pPr>
      <w:pStyle w:val="Koptekst"/>
      <w:rPr>
        <w:rFonts w:ascii="Times New Roman" w:hAnsi="Times New Roman"/>
        <w:b/>
        <w:sz w:val="20"/>
        <w:szCs w:val="20"/>
      </w:rPr>
    </w:pPr>
    <w:proofErr w:type="spellStart"/>
    <w:r>
      <w:rPr>
        <w:rFonts w:ascii="Times New Roman" w:eastAsia="Calibri" w:hAnsi="Times New Roman"/>
        <w:b/>
        <w:sz w:val="20"/>
        <w:szCs w:val="20"/>
      </w:rPr>
      <w:t>Hoofdstuk</w:t>
    </w:r>
    <w:proofErr w:type="spellEnd"/>
    <w:r>
      <w:rPr>
        <w:rFonts w:ascii="Times New Roman" w:eastAsia="Calibri" w:hAnsi="Times New Roman"/>
        <w:b/>
        <w:sz w:val="20"/>
        <w:szCs w:val="20"/>
      </w:rPr>
      <w:t xml:space="preserve"> 6</w:t>
    </w:r>
    <w:r w:rsidRPr="003E4197">
      <w:rPr>
        <w:rFonts w:ascii="Times New Roman" w:eastAsia="Calibri" w:hAnsi="Times New Roman"/>
        <w:b/>
        <w:sz w:val="20"/>
        <w:szCs w:val="20"/>
      </w:rPr>
      <w:tab/>
    </w:r>
    <w:r w:rsidRPr="003E4197">
      <w:rPr>
        <w:rFonts w:ascii="Times New Roman" w:eastAsia="Calibri" w:hAnsi="Times New Roman"/>
        <w:b/>
        <w:sz w:val="20"/>
        <w:szCs w:val="20"/>
      </w:rPr>
      <w:tab/>
    </w:r>
    <w:r w:rsidRPr="003E4197">
      <w:rPr>
        <w:rFonts w:ascii="Times New Roman" w:hAnsi="Times New Roman"/>
        <w:b/>
        <w:sz w:val="20"/>
        <w:szCs w:val="20"/>
      </w:rPr>
      <w:t>ABM</w:t>
    </w:r>
    <w:r>
      <w:rPr>
        <w:rFonts w:ascii="Times New Roman" w:hAnsi="Times New Roman"/>
        <w:b/>
        <w:sz w:val="20"/>
        <w:szCs w:val="20"/>
      </w:rPr>
      <w:t>4</w:t>
    </w:r>
    <w:r w:rsidRPr="003E4197">
      <w:rPr>
        <w:rFonts w:ascii="Times New Roman" w:hAnsi="Times New Roman"/>
        <w:b/>
        <w:sz w:val="20"/>
        <w:szCs w:val="20"/>
      </w:rPr>
      <w:t xml:space="preserve">: De </w:t>
    </w:r>
    <w:r>
      <w:rPr>
        <w:rFonts w:ascii="Times New Roman" w:hAnsi="Times New Roman"/>
        <w:b/>
        <w:sz w:val="20"/>
        <w:szCs w:val="20"/>
      </w:rPr>
      <w:t>Fiscale</w:t>
    </w:r>
    <w:r w:rsidRPr="003E4197">
      <w:rPr>
        <w:rFonts w:ascii="Times New Roman" w:hAnsi="Times New Roman"/>
        <w:b/>
        <w:sz w:val="20"/>
        <w:szCs w:val="20"/>
      </w:rPr>
      <w:t xml:space="preserve"> </w:t>
    </w:r>
    <w:proofErr w:type="spellStart"/>
    <w:r w:rsidRPr="003E4197">
      <w:rPr>
        <w:rFonts w:ascii="Times New Roman" w:hAnsi="Times New Roman"/>
        <w:b/>
        <w:sz w:val="20"/>
        <w:szCs w:val="20"/>
      </w:rPr>
      <w:t>Jaarrekening</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footnotePr>
    <w:footnote w:id="-1"/>
    <w:footnote w:id="0"/>
  </w:footnotePr>
  <w:endnotePr>
    <w:endnote w:id="-1"/>
    <w:endnote w:id="0"/>
  </w:endnotePr>
  <w:compat/>
  <w:rsids>
    <w:rsidRoot w:val="002D5294"/>
    <w:rsid w:val="001A7F25"/>
    <w:rsid w:val="002B1BFB"/>
    <w:rsid w:val="002D5294"/>
    <w:rsid w:val="00A839A0"/>
    <w:rsid w:val="00DD1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5294"/>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2D5294"/>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2D5294"/>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2D5294"/>
    <w:pPr>
      <w:suppressAutoHyphens/>
    </w:pPr>
    <w:rPr>
      <w:rFonts w:ascii="Verdana" w:hAnsi="Verdana" w:cs="UtopiaStd-Regular"/>
      <w:sz w:val="44"/>
      <w:szCs w:val="44"/>
    </w:rPr>
  </w:style>
  <w:style w:type="paragraph" w:customStyle="1" w:styleId="k2kop2aopgaven">
    <w:name w:val="k2_kop2a_opgaven"/>
    <w:basedOn w:val="NoParagraphStyle"/>
    <w:uiPriority w:val="99"/>
    <w:rsid w:val="002D5294"/>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2D5294"/>
    <w:pPr>
      <w:spacing w:before="0"/>
    </w:pPr>
    <w:rPr>
      <w:rFonts w:cs="UtopiaStd-Regular"/>
      <w:b w:val="0"/>
    </w:rPr>
  </w:style>
  <w:style w:type="paragraph" w:customStyle="1" w:styleId="pt">
    <w:name w:val="pt"/>
    <w:basedOn w:val="NoParagraphStyle"/>
    <w:uiPriority w:val="99"/>
    <w:rsid w:val="002D5294"/>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2D5294"/>
    <w:pPr>
      <w:ind w:left="360" w:right="562" w:hanging="360"/>
    </w:pPr>
  </w:style>
  <w:style w:type="paragraph" w:customStyle="1" w:styleId="tabelpt">
    <w:name w:val="tabel_pt"/>
    <w:basedOn w:val="NoParagraphStyle"/>
    <w:uiPriority w:val="99"/>
    <w:rsid w:val="002D5294"/>
    <w:pPr>
      <w:spacing w:line="250" w:lineRule="atLeast"/>
    </w:pPr>
    <w:rPr>
      <w:rFonts w:ascii="Verdana" w:hAnsi="Verdana" w:cs="FrutigerLTStd-Roman"/>
      <w:sz w:val="15"/>
      <w:szCs w:val="15"/>
    </w:rPr>
  </w:style>
  <w:style w:type="paragraph" w:customStyle="1" w:styleId="tabelpt23mm">
    <w:name w:val="tabel_pt_23mm"/>
    <w:basedOn w:val="tabelpt"/>
    <w:uiPriority w:val="99"/>
    <w:rsid w:val="002D5294"/>
    <w:pPr>
      <w:ind w:left="1304"/>
    </w:pPr>
    <w:rPr>
      <w:rFonts w:cs="FrutigerLTStd-Italic"/>
      <w:i/>
      <w:iCs/>
    </w:rPr>
  </w:style>
  <w:style w:type="paragraph" w:customStyle="1" w:styleId="tabelk1">
    <w:name w:val="tabel_k1"/>
    <w:basedOn w:val="NoParagraphStyle"/>
    <w:uiPriority w:val="99"/>
    <w:rsid w:val="002D5294"/>
    <w:pPr>
      <w:tabs>
        <w:tab w:val="left" w:pos="1531"/>
        <w:tab w:val="left" w:pos="1587"/>
      </w:tabs>
      <w:spacing w:line="250" w:lineRule="atLeast"/>
    </w:pPr>
    <w:rPr>
      <w:rFonts w:ascii="Verdana" w:hAnsi="Verdana" w:cs="FrutigerLTStd-Bold"/>
      <w:b/>
      <w:bCs/>
      <w:sz w:val="15"/>
      <w:szCs w:val="15"/>
    </w:rPr>
  </w:style>
  <w:style w:type="character" w:customStyle="1" w:styleId="Bold">
    <w:name w:val="Bold"/>
    <w:uiPriority w:val="99"/>
    <w:rsid w:val="002D5294"/>
    <w:rPr>
      <w:rFonts w:ascii="Verdana" w:hAnsi="Verdana"/>
      <w:b/>
    </w:rPr>
  </w:style>
  <w:style w:type="character" w:customStyle="1" w:styleId="Onderstreept">
    <w:name w:val="Onderstreept"/>
    <w:uiPriority w:val="99"/>
    <w:rsid w:val="002D5294"/>
    <w:rPr>
      <w:rFonts w:ascii="Verdana" w:hAnsi="Verdana"/>
      <w:u w:val="none"/>
    </w:rPr>
  </w:style>
  <w:style w:type="character" w:customStyle="1" w:styleId="Italic">
    <w:name w:val="Italic"/>
    <w:uiPriority w:val="99"/>
    <w:rsid w:val="002D5294"/>
    <w:rPr>
      <w:rFonts w:ascii="Verdana" w:hAnsi="Verdana"/>
      <w:i/>
      <w:color w:val="000000"/>
    </w:rPr>
  </w:style>
  <w:style w:type="character" w:customStyle="1" w:styleId="balansonderstreeptonder">
    <w:name w:val="balans_onderstreept_onder"/>
    <w:uiPriority w:val="99"/>
    <w:rsid w:val="002D5294"/>
    <w:rPr>
      <w:rFonts w:ascii="Verdana" w:hAnsi="Verdana"/>
      <w:u w:val="thick" w:color="000000"/>
    </w:rPr>
  </w:style>
  <w:style w:type="paragraph" w:styleId="Koptekst">
    <w:name w:val="header"/>
    <w:basedOn w:val="Standaard"/>
    <w:link w:val="KoptekstChar"/>
    <w:unhideWhenUsed/>
    <w:rsid w:val="00DD1761"/>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DD1761"/>
    <w:rPr>
      <w:rFonts w:ascii="Calibri" w:eastAsia="Times New Roman" w:hAnsi="Calibri" w:cs="Times New Roman"/>
      <w:lang w:val="it-IT" w:eastAsia="it-IT"/>
    </w:rPr>
  </w:style>
  <w:style w:type="paragraph" w:styleId="Voettekst">
    <w:name w:val="footer"/>
    <w:basedOn w:val="Standaard"/>
    <w:link w:val="VoettekstChar"/>
    <w:uiPriority w:val="99"/>
    <w:unhideWhenUsed/>
    <w:rsid w:val="00DD176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D1761"/>
    <w:rPr>
      <w:rFonts w:ascii="Calibri" w:eastAsia="Times New Roman" w:hAnsi="Calibri"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10021</Characters>
  <Application>Microsoft Office Word</Application>
  <DocSecurity>0</DocSecurity>
  <Lines>83</Lines>
  <Paragraphs>23</Paragraphs>
  <ScaleCrop>false</ScaleCrop>
  <Company>Springer-SBM</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2016-08-04T08:55:00Z</dcterms:created>
  <dcterms:modified xsi:type="dcterms:W3CDTF">2016-08-04T09:01:00Z</dcterms:modified>
</cp:coreProperties>
</file>